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EB7" w:rsidRPr="00417001" w:rsidRDefault="00013EB7" w:rsidP="00013EB7">
      <w:pPr>
        <w:jc w:val="center"/>
        <w:rPr>
          <w:b/>
          <w:sz w:val="26"/>
          <w:szCs w:val="26"/>
        </w:rPr>
      </w:pPr>
      <w:r w:rsidRPr="00417001">
        <w:rPr>
          <w:b/>
          <w:sz w:val="26"/>
          <w:szCs w:val="26"/>
        </w:rPr>
        <w:t xml:space="preserve">Краткое описание </w:t>
      </w:r>
      <w:r w:rsidR="00313E47">
        <w:rPr>
          <w:b/>
          <w:sz w:val="26"/>
          <w:szCs w:val="26"/>
        </w:rPr>
        <w:t xml:space="preserve">скорректированной </w:t>
      </w:r>
      <w:r w:rsidRPr="00417001">
        <w:rPr>
          <w:b/>
          <w:sz w:val="26"/>
          <w:szCs w:val="26"/>
        </w:rPr>
        <w:t>инвестиционной программы</w:t>
      </w:r>
    </w:p>
    <w:p w:rsidR="00013EB7" w:rsidRPr="00417001" w:rsidRDefault="00266DD2" w:rsidP="00C4557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АО «Петербургская сбытовая компания» </w:t>
      </w:r>
      <w:r w:rsidR="00313E47">
        <w:rPr>
          <w:b/>
          <w:sz w:val="26"/>
          <w:szCs w:val="26"/>
        </w:rPr>
        <w:t>на 20</w:t>
      </w:r>
      <w:r w:rsidR="00FA37FE">
        <w:rPr>
          <w:b/>
          <w:sz w:val="26"/>
          <w:szCs w:val="26"/>
        </w:rPr>
        <w:t>2</w:t>
      </w:r>
      <w:r w:rsidR="001116A7">
        <w:rPr>
          <w:b/>
          <w:sz w:val="26"/>
          <w:szCs w:val="26"/>
        </w:rPr>
        <w:t>6</w:t>
      </w:r>
      <w:r w:rsidR="00313E47">
        <w:rPr>
          <w:b/>
          <w:sz w:val="26"/>
          <w:szCs w:val="26"/>
        </w:rPr>
        <w:t xml:space="preserve"> – 202</w:t>
      </w:r>
      <w:r w:rsidR="001116A7">
        <w:rPr>
          <w:b/>
          <w:sz w:val="26"/>
          <w:szCs w:val="26"/>
        </w:rPr>
        <w:t>9</w:t>
      </w:r>
      <w:r w:rsidR="00313E47">
        <w:rPr>
          <w:b/>
          <w:sz w:val="26"/>
          <w:szCs w:val="26"/>
        </w:rPr>
        <w:t xml:space="preserve"> </w:t>
      </w:r>
      <w:r w:rsidR="0063426D">
        <w:rPr>
          <w:b/>
          <w:sz w:val="26"/>
          <w:szCs w:val="26"/>
        </w:rPr>
        <w:t>годы</w:t>
      </w:r>
      <w:r w:rsidR="00313E47">
        <w:rPr>
          <w:b/>
          <w:sz w:val="26"/>
          <w:szCs w:val="26"/>
        </w:rPr>
        <w:t>.</w:t>
      </w:r>
    </w:p>
    <w:p w:rsidR="00013EB7" w:rsidRPr="009A28EC" w:rsidRDefault="00013EB7" w:rsidP="00013EB7">
      <w:pPr>
        <w:jc w:val="center"/>
        <w:rPr>
          <w:b/>
          <w:sz w:val="32"/>
          <w:szCs w:val="32"/>
        </w:rPr>
      </w:pPr>
    </w:p>
    <w:p w:rsidR="00D16979" w:rsidRPr="00417001" w:rsidRDefault="00086585" w:rsidP="00D16979">
      <w:pPr>
        <w:ind w:firstLine="567"/>
        <w:jc w:val="both"/>
        <w:rPr>
          <w:sz w:val="26"/>
          <w:szCs w:val="26"/>
        </w:rPr>
      </w:pPr>
      <w:r w:rsidRPr="00417001">
        <w:rPr>
          <w:sz w:val="26"/>
          <w:szCs w:val="26"/>
        </w:rPr>
        <w:t>Основной целью инвестиционной программы</w:t>
      </w:r>
      <w:r w:rsidR="00266DD2">
        <w:rPr>
          <w:sz w:val="26"/>
          <w:szCs w:val="26"/>
        </w:rPr>
        <w:t xml:space="preserve"> АО «Петербургская сбытовая компания» </w:t>
      </w:r>
      <w:r w:rsidR="0077057A">
        <w:rPr>
          <w:sz w:val="26"/>
          <w:szCs w:val="26"/>
        </w:rPr>
        <w:t>на 20</w:t>
      </w:r>
      <w:r w:rsidR="00FA37FE">
        <w:rPr>
          <w:sz w:val="26"/>
          <w:szCs w:val="26"/>
        </w:rPr>
        <w:t>2</w:t>
      </w:r>
      <w:r w:rsidR="001116A7">
        <w:rPr>
          <w:sz w:val="26"/>
          <w:szCs w:val="26"/>
        </w:rPr>
        <w:t>6</w:t>
      </w:r>
      <w:r w:rsidR="0077057A">
        <w:rPr>
          <w:sz w:val="26"/>
          <w:szCs w:val="26"/>
        </w:rPr>
        <w:t>-202</w:t>
      </w:r>
      <w:r w:rsidR="001116A7">
        <w:rPr>
          <w:sz w:val="26"/>
          <w:szCs w:val="26"/>
        </w:rPr>
        <w:t>9</w:t>
      </w:r>
      <w:r w:rsidR="0077057A">
        <w:rPr>
          <w:sz w:val="26"/>
          <w:szCs w:val="26"/>
        </w:rPr>
        <w:t xml:space="preserve"> годы</w:t>
      </w:r>
      <w:r w:rsidR="007F5D98">
        <w:rPr>
          <w:sz w:val="26"/>
          <w:szCs w:val="26"/>
        </w:rPr>
        <w:t xml:space="preserve"> является обеспечение качественной организации</w:t>
      </w:r>
      <w:r w:rsidRPr="00417001">
        <w:rPr>
          <w:sz w:val="26"/>
          <w:szCs w:val="26"/>
        </w:rPr>
        <w:t xml:space="preserve"> </w:t>
      </w:r>
      <w:r w:rsidR="007F5D98">
        <w:rPr>
          <w:sz w:val="26"/>
          <w:szCs w:val="26"/>
        </w:rPr>
        <w:t xml:space="preserve">обслуживания потребителей </w:t>
      </w:r>
      <w:r w:rsidR="00266DD2">
        <w:rPr>
          <w:sz w:val="26"/>
          <w:szCs w:val="26"/>
        </w:rPr>
        <w:t xml:space="preserve">Санкт-Петербурга и Ленинградской </w:t>
      </w:r>
      <w:r w:rsidR="007F5D98">
        <w:rPr>
          <w:sz w:val="26"/>
          <w:szCs w:val="26"/>
        </w:rPr>
        <w:t>области</w:t>
      </w:r>
      <w:r w:rsidRPr="00417001">
        <w:rPr>
          <w:sz w:val="26"/>
          <w:szCs w:val="26"/>
        </w:rPr>
        <w:t xml:space="preserve"> в соответствии с действующими нормативными документами и </w:t>
      </w:r>
      <w:r w:rsidR="00266DD2" w:rsidRPr="00417001">
        <w:rPr>
          <w:sz w:val="26"/>
          <w:szCs w:val="26"/>
        </w:rPr>
        <w:t>«Стандарт</w:t>
      </w:r>
      <w:r w:rsidR="00266DD2">
        <w:rPr>
          <w:sz w:val="26"/>
          <w:szCs w:val="26"/>
        </w:rPr>
        <w:t>ом</w:t>
      </w:r>
      <w:r w:rsidR="00266DD2" w:rsidRPr="00417001">
        <w:rPr>
          <w:sz w:val="26"/>
          <w:szCs w:val="26"/>
        </w:rPr>
        <w:t xml:space="preserve"> качества обслуживания потребителей </w:t>
      </w:r>
      <w:r w:rsidR="00266DD2">
        <w:rPr>
          <w:sz w:val="26"/>
          <w:szCs w:val="26"/>
        </w:rPr>
        <w:t xml:space="preserve">АО «Петербургская сбытовая компания», </w:t>
      </w:r>
      <w:r w:rsidR="00FA37FE">
        <w:rPr>
          <w:sz w:val="26"/>
          <w:szCs w:val="26"/>
        </w:rPr>
        <w:t xml:space="preserve">повышение информационной безопасности, </w:t>
      </w:r>
      <w:r w:rsidR="00266DD2">
        <w:rPr>
          <w:sz w:val="26"/>
          <w:szCs w:val="26"/>
        </w:rPr>
        <w:t xml:space="preserve">а также плановая замена </w:t>
      </w:r>
      <w:r w:rsidR="00976A53">
        <w:rPr>
          <w:sz w:val="26"/>
          <w:szCs w:val="26"/>
        </w:rPr>
        <w:t xml:space="preserve">автомобилей в </w:t>
      </w:r>
      <w:r w:rsidR="00266DD2">
        <w:rPr>
          <w:sz w:val="26"/>
          <w:szCs w:val="26"/>
        </w:rPr>
        <w:t>автопарк</w:t>
      </w:r>
      <w:r w:rsidR="00976A53">
        <w:rPr>
          <w:sz w:val="26"/>
          <w:szCs w:val="26"/>
        </w:rPr>
        <w:t>е</w:t>
      </w:r>
      <w:r w:rsidR="00266DD2">
        <w:rPr>
          <w:sz w:val="26"/>
          <w:szCs w:val="26"/>
        </w:rPr>
        <w:t xml:space="preserve"> компании</w:t>
      </w:r>
      <w:r w:rsidRPr="00417001">
        <w:rPr>
          <w:sz w:val="26"/>
          <w:szCs w:val="26"/>
        </w:rPr>
        <w:t xml:space="preserve">. </w:t>
      </w:r>
    </w:p>
    <w:p w:rsidR="00D16979" w:rsidRPr="00417001" w:rsidRDefault="00AB5888" w:rsidP="00D1697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п</w:t>
      </w:r>
      <w:r w:rsidR="00086585" w:rsidRPr="00417001">
        <w:rPr>
          <w:sz w:val="26"/>
          <w:szCs w:val="26"/>
        </w:rPr>
        <w:t xml:space="preserve">рограмма направлена на </w:t>
      </w:r>
      <w:r w:rsidR="0077057A">
        <w:rPr>
          <w:sz w:val="26"/>
          <w:szCs w:val="26"/>
        </w:rPr>
        <w:t>выполнение норм федерального законодательства (Федеральный закон от 27.12.2018 № 522-</w:t>
      </w:r>
      <w:r w:rsidR="005B325D">
        <w:rPr>
          <w:sz w:val="26"/>
          <w:szCs w:val="26"/>
        </w:rPr>
        <w:t>ФЗ</w:t>
      </w:r>
      <w:r w:rsidR="0077057A">
        <w:rPr>
          <w:sz w:val="26"/>
          <w:szCs w:val="26"/>
        </w:rPr>
        <w:t xml:space="preserve">) в части построения интеллектуальной системы учета (ИСУ) в многоквартирных домах, </w:t>
      </w:r>
      <w:r w:rsidR="007245FB" w:rsidRPr="007245FB">
        <w:rPr>
          <w:sz w:val="26"/>
          <w:szCs w:val="26"/>
        </w:rPr>
        <w:t xml:space="preserve">поддержание </w:t>
      </w:r>
      <w:r w:rsidR="00266DD2">
        <w:rPr>
          <w:sz w:val="26"/>
          <w:szCs w:val="26"/>
        </w:rPr>
        <w:t xml:space="preserve">и обновление </w:t>
      </w:r>
      <w:r w:rsidR="007245FB" w:rsidRPr="007245FB">
        <w:rPr>
          <w:sz w:val="26"/>
          <w:szCs w:val="26"/>
        </w:rPr>
        <w:t xml:space="preserve">существующих </w:t>
      </w:r>
      <w:r w:rsidR="00266DD2">
        <w:rPr>
          <w:sz w:val="26"/>
          <w:szCs w:val="26"/>
        </w:rPr>
        <w:t xml:space="preserve">производственных </w:t>
      </w:r>
      <w:r w:rsidR="007245FB" w:rsidRPr="007245FB">
        <w:rPr>
          <w:sz w:val="26"/>
          <w:szCs w:val="26"/>
        </w:rPr>
        <w:t>мощностей</w:t>
      </w:r>
      <w:r w:rsidR="007245FB">
        <w:rPr>
          <w:sz w:val="26"/>
          <w:szCs w:val="26"/>
        </w:rPr>
        <w:t>,</w:t>
      </w:r>
      <w:r w:rsidR="007245FB" w:rsidRPr="007245FB">
        <w:rPr>
          <w:sz w:val="26"/>
          <w:szCs w:val="26"/>
        </w:rPr>
        <w:t xml:space="preserve"> </w:t>
      </w:r>
      <w:r w:rsidR="00266DD2">
        <w:rPr>
          <w:sz w:val="26"/>
          <w:szCs w:val="26"/>
        </w:rPr>
        <w:t>расширение спектра информационных сервисов для потребителей гарантирующего поставщика.</w:t>
      </w:r>
      <w:r w:rsidR="00086585" w:rsidRPr="00417001">
        <w:rPr>
          <w:sz w:val="26"/>
          <w:szCs w:val="26"/>
        </w:rPr>
        <w:t xml:space="preserve"> </w:t>
      </w:r>
    </w:p>
    <w:p w:rsidR="00086585" w:rsidRDefault="00086585" w:rsidP="00D16979">
      <w:pPr>
        <w:ind w:firstLine="567"/>
        <w:jc w:val="both"/>
        <w:rPr>
          <w:sz w:val="26"/>
          <w:szCs w:val="26"/>
        </w:rPr>
      </w:pPr>
      <w:r w:rsidRPr="00417001">
        <w:rPr>
          <w:sz w:val="26"/>
          <w:szCs w:val="26"/>
        </w:rPr>
        <w:t xml:space="preserve">Объем </w:t>
      </w:r>
      <w:r w:rsidR="006241C6">
        <w:rPr>
          <w:sz w:val="26"/>
          <w:szCs w:val="26"/>
        </w:rPr>
        <w:t>освоения</w:t>
      </w:r>
      <w:r w:rsidRPr="00417001">
        <w:rPr>
          <w:sz w:val="26"/>
          <w:szCs w:val="26"/>
        </w:rPr>
        <w:t xml:space="preserve"> </w:t>
      </w:r>
      <w:r w:rsidR="00313E47">
        <w:rPr>
          <w:sz w:val="26"/>
          <w:szCs w:val="26"/>
        </w:rPr>
        <w:t xml:space="preserve">скорректированной </w:t>
      </w:r>
      <w:r w:rsidRPr="00417001">
        <w:rPr>
          <w:sz w:val="26"/>
          <w:szCs w:val="26"/>
        </w:rPr>
        <w:t>инвестиционной программы</w:t>
      </w:r>
      <w:r w:rsidR="00266DD2">
        <w:rPr>
          <w:sz w:val="26"/>
          <w:szCs w:val="26"/>
        </w:rPr>
        <w:t xml:space="preserve"> </w:t>
      </w:r>
      <w:r w:rsidR="00196E78">
        <w:rPr>
          <w:sz w:val="26"/>
          <w:szCs w:val="26"/>
        </w:rPr>
        <w:br/>
      </w:r>
      <w:r w:rsidR="00266DD2">
        <w:rPr>
          <w:sz w:val="26"/>
          <w:szCs w:val="26"/>
        </w:rPr>
        <w:t xml:space="preserve">АО «Петербургская сбытовая компания» </w:t>
      </w:r>
      <w:r w:rsidR="00B82C9E">
        <w:rPr>
          <w:sz w:val="26"/>
          <w:szCs w:val="26"/>
        </w:rPr>
        <w:t xml:space="preserve">по </w:t>
      </w:r>
      <w:r w:rsidR="00502B44">
        <w:rPr>
          <w:sz w:val="26"/>
          <w:szCs w:val="26"/>
        </w:rPr>
        <w:t>Ленинградской области</w:t>
      </w:r>
      <w:r w:rsidR="00B82C9E">
        <w:rPr>
          <w:sz w:val="26"/>
          <w:szCs w:val="26"/>
        </w:rPr>
        <w:t xml:space="preserve"> </w:t>
      </w:r>
      <w:r w:rsidR="00075256" w:rsidRPr="00417001">
        <w:rPr>
          <w:sz w:val="26"/>
          <w:szCs w:val="26"/>
        </w:rPr>
        <w:t>составляет (без НДС)</w:t>
      </w:r>
      <w:r w:rsidR="00075256" w:rsidRPr="00DD4609">
        <w:rPr>
          <w:sz w:val="26"/>
          <w:szCs w:val="26"/>
        </w:rPr>
        <w:t xml:space="preserve"> </w:t>
      </w:r>
      <w:r w:rsidR="00AB5888">
        <w:rPr>
          <w:sz w:val="26"/>
          <w:szCs w:val="26"/>
        </w:rPr>
        <w:t>на 202</w:t>
      </w:r>
      <w:r w:rsidR="001116A7">
        <w:rPr>
          <w:sz w:val="26"/>
          <w:szCs w:val="26"/>
        </w:rPr>
        <w:t>6</w:t>
      </w:r>
      <w:r w:rsidR="00AB5888">
        <w:rPr>
          <w:sz w:val="26"/>
          <w:szCs w:val="26"/>
        </w:rPr>
        <w:t xml:space="preserve"> год – </w:t>
      </w:r>
      <w:r w:rsidR="009B60BE" w:rsidRPr="009B60BE">
        <w:rPr>
          <w:sz w:val="26"/>
          <w:szCs w:val="26"/>
        </w:rPr>
        <w:t>55</w:t>
      </w:r>
      <w:r w:rsidR="001116A7">
        <w:rPr>
          <w:sz w:val="26"/>
          <w:szCs w:val="26"/>
        </w:rPr>
        <w:t>5</w:t>
      </w:r>
      <w:r w:rsidR="009B60BE">
        <w:rPr>
          <w:sz w:val="26"/>
          <w:szCs w:val="26"/>
        </w:rPr>
        <w:t>,</w:t>
      </w:r>
      <w:r w:rsidR="001116A7">
        <w:rPr>
          <w:sz w:val="26"/>
          <w:szCs w:val="26"/>
        </w:rPr>
        <w:t>6</w:t>
      </w:r>
      <w:r w:rsidR="00AB5888">
        <w:rPr>
          <w:sz w:val="26"/>
          <w:szCs w:val="26"/>
        </w:rPr>
        <w:t xml:space="preserve"> млн рублей; </w:t>
      </w:r>
      <w:r w:rsidR="009B115D">
        <w:rPr>
          <w:sz w:val="26"/>
          <w:szCs w:val="26"/>
        </w:rPr>
        <w:t>на 202</w:t>
      </w:r>
      <w:r w:rsidR="001116A7">
        <w:rPr>
          <w:sz w:val="26"/>
          <w:szCs w:val="26"/>
        </w:rPr>
        <w:t>7</w:t>
      </w:r>
      <w:r w:rsidR="009B115D">
        <w:rPr>
          <w:sz w:val="26"/>
          <w:szCs w:val="26"/>
        </w:rPr>
        <w:t xml:space="preserve"> год – </w:t>
      </w:r>
      <w:r w:rsidR="001116A7">
        <w:rPr>
          <w:sz w:val="26"/>
          <w:szCs w:val="26"/>
        </w:rPr>
        <w:t>533,7</w:t>
      </w:r>
      <w:r w:rsidR="009B115D">
        <w:rPr>
          <w:sz w:val="26"/>
          <w:szCs w:val="26"/>
        </w:rPr>
        <w:t xml:space="preserve"> млн рублей; на 202</w:t>
      </w:r>
      <w:r w:rsidR="001116A7">
        <w:rPr>
          <w:sz w:val="26"/>
          <w:szCs w:val="26"/>
        </w:rPr>
        <w:t>8</w:t>
      </w:r>
      <w:r w:rsidR="009B115D">
        <w:rPr>
          <w:sz w:val="26"/>
          <w:szCs w:val="26"/>
        </w:rPr>
        <w:t xml:space="preserve"> год – </w:t>
      </w:r>
      <w:r w:rsidR="001116A7">
        <w:rPr>
          <w:sz w:val="26"/>
          <w:szCs w:val="26"/>
        </w:rPr>
        <w:t>563,5</w:t>
      </w:r>
      <w:r w:rsidR="009B115D">
        <w:rPr>
          <w:sz w:val="26"/>
          <w:szCs w:val="26"/>
        </w:rPr>
        <w:t xml:space="preserve"> млн рублей; </w:t>
      </w:r>
      <w:r w:rsidR="00AB5888">
        <w:rPr>
          <w:sz w:val="26"/>
          <w:szCs w:val="26"/>
        </w:rPr>
        <w:t>на 202</w:t>
      </w:r>
      <w:r w:rsidR="001116A7">
        <w:rPr>
          <w:sz w:val="26"/>
          <w:szCs w:val="26"/>
        </w:rPr>
        <w:t>9</w:t>
      </w:r>
      <w:r w:rsidR="00AB5888">
        <w:rPr>
          <w:sz w:val="26"/>
          <w:szCs w:val="26"/>
        </w:rPr>
        <w:t xml:space="preserve"> год – </w:t>
      </w:r>
      <w:r w:rsidR="001116A7">
        <w:rPr>
          <w:sz w:val="26"/>
          <w:szCs w:val="26"/>
        </w:rPr>
        <w:t>452,5</w:t>
      </w:r>
      <w:r w:rsidR="00AB5888">
        <w:rPr>
          <w:sz w:val="26"/>
          <w:szCs w:val="26"/>
        </w:rPr>
        <w:t xml:space="preserve"> млн рублей.</w:t>
      </w:r>
      <w:r w:rsidRPr="00417001">
        <w:rPr>
          <w:sz w:val="26"/>
          <w:szCs w:val="26"/>
        </w:rPr>
        <w:t xml:space="preserve"> В рамках ук</w:t>
      </w:r>
      <w:r w:rsidR="007F5D98">
        <w:rPr>
          <w:sz w:val="26"/>
          <w:szCs w:val="26"/>
        </w:rPr>
        <w:t>азанного финансирования планируе</w:t>
      </w:r>
      <w:r w:rsidRPr="00417001">
        <w:rPr>
          <w:sz w:val="26"/>
          <w:szCs w:val="26"/>
        </w:rPr>
        <w:t xml:space="preserve">тся </w:t>
      </w:r>
      <w:r w:rsidR="00417001">
        <w:rPr>
          <w:sz w:val="26"/>
          <w:szCs w:val="26"/>
        </w:rPr>
        <w:t xml:space="preserve">выполнить </w:t>
      </w:r>
      <w:r w:rsidRPr="00417001">
        <w:rPr>
          <w:sz w:val="26"/>
          <w:szCs w:val="26"/>
        </w:rPr>
        <w:t>следующие проекты:</w:t>
      </w:r>
    </w:p>
    <w:p w:rsidR="009A28EC" w:rsidRPr="00417001" w:rsidRDefault="009A28EC" w:rsidP="00D16979">
      <w:pPr>
        <w:ind w:firstLine="567"/>
        <w:jc w:val="both"/>
        <w:rPr>
          <w:sz w:val="26"/>
          <w:szCs w:val="26"/>
        </w:rPr>
      </w:pPr>
    </w:p>
    <w:p w:rsidR="00152592" w:rsidRPr="00152592" w:rsidRDefault="00152592" w:rsidP="00152592">
      <w:pPr>
        <w:ind w:left="851"/>
        <w:jc w:val="both"/>
        <w:rPr>
          <w:sz w:val="26"/>
          <w:szCs w:val="26"/>
        </w:rPr>
      </w:pPr>
    </w:p>
    <w:p w:rsidR="0063426D" w:rsidRDefault="0063426D" w:rsidP="0063426D">
      <w:pPr>
        <w:numPr>
          <w:ilvl w:val="0"/>
          <w:numId w:val="9"/>
        </w:numPr>
        <w:jc w:val="both"/>
        <w:rPr>
          <w:b/>
          <w:sz w:val="26"/>
          <w:szCs w:val="26"/>
        </w:rPr>
      </w:pPr>
      <w:r w:rsidRPr="00417001">
        <w:rPr>
          <w:b/>
          <w:sz w:val="26"/>
          <w:szCs w:val="26"/>
        </w:rPr>
        <w:t xml:space="preserve">Мероприятия </w:t>
      </w:r>
      <w:r>
        <w:rPr>
          <w:b/>
          <w:sz w:val="26"/>
          <w:szCs w:val="26"/>
        </w:rPr>
        <w:t xml:space="preserve">по </w:t>
      </w:r>
      <w:r w:rsidRPr="0063426D">
        <w:rPr>
          <w:b/>
          <w:sz w:val="26"/>
          <w:szCs w:val="26"/>
        </w:rPr>
        <w:t>построени</w:t>
      </w:r>
      <w:r>
        <w:rPr>
          <w:b/>
          <w:sz w:val="26"/>
          <w:szCs w:val="26"/>
        </w:rPr>
        <w:t>ю</w:t>
      </w:r>
      <w:r w:rsidRPr="0063426D">
        <w:rPr>
          <w:b/>
          <w:sz w:val="26"/>
          <w:szCs w:val="26"/>
        </w:rPr>
        <w:t xml:space="preserve"> интеллектуальной системы учета (ИСУ) в многоквартирных домах.</w:t>
      </w:r>
    </w:p>
    <w:p w:rsidR="0063426D" w:rsidRPr="0063426D" w:rsidRDefault="0063426D" w:rsidP="0063426D">
      <w:pPr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 </w:t>
      </w:r>
      <w:r w:rsidRPr="00417001">
        <w:rPr>
          <w:sz w:val="26"/>
          <w:szCs w:val="26"/>
        </w:rPr>
        <w:t>инвестици</w:t>
      </w:r>
      <w:r>
        <w:rPr>
          <w:sz w:val="26"/>
          <w:szCs w:val="26"/>
        </w:rPr>
        <w:t>онного проекта</w:t>
      </w:r>
      <w:r w:rsidRPr="00417001">
        <w:rPr>
          <w:sz w:val="26"/>
          <w:szCs w:val="26"/>
        </w:rPr>
        <w:t xml:space="preserve"> – </w:t>
      </w:r>
      <w:r>
        <w:rPr>
          <w:sz w:val="26"/>
          <w:szCs w:val="26"/>
        </w:rPr>
        <w:t xml:space="preserve">выполнение норм федерального законодательства. </w:t>
      </w:r>
      <w:r w:rsidRPr="0063426D">
        <w:rPr>
          <w:sz w:val="26"/>
          <w:szCs w:val="26"/>
        </w:rPr>
        <w:t>Гарантирующие поставщики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</w:t>
      </w:r>
      <w:r>
        <w:rPr>
          <w:sz w:val="26"/>
          <w:szCs w:val="26"/>
        </w:rPr>
        <w:t>же последующую их эксплуатацию.</w:t>
      </w:r>
    </w:p>
    <w:p w:rsidR="0063426D" w:rsidRDefault="0063426D" w:rsidP="00D16979">
      <w:pPr>
        <w:ind w:left="851" w:hanging="284"/>
        <w:jc w:val="both"/>
        <w:rPr>
          <w:b/>
          <w:sz w:val="26"/>
          <w:szCs w:val="26"/>
        </w:rPr>
      </w:pPr>
    </w:p>
    <w:p w:rsidR="00086585" w:rsidRPr="00417001" w:rsidRDefault="0063426D" w:rsidP="00D16979">
      <w:pPr>
        <w:ind w:left="851" w:hanging="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D16979" w:rsidRPr="00417001">
        <w:rPr>
          <w:b/>
          <w:sz w:val="26"/>
          <w:szCs w:val="26"/>
        </w:rPr>
        <w:t>. </w:t>
      </w:r>
      <w:r w:rsidR="00086585" w:rsidRPr="00417001">
        <w:rPr>
          <w:b/>
          <w:sz w:val="26"/>
          <w:szCs w:val="26"/>
        </w:rPr>
        <w:t>Мероприятия по ИТ-бюджету</w:t>
      </w:r>
      <w:r w:rsidR="00AF3D93">
        <w:rPr>
          <w:b/>
          <w:sz w:val="26"/>
          <w:szCs w:val="26"/>
        </w:rPr>
        <w:t xml:space="preserve"> – создание и расширение возможностей программных продуктов</w:t>
      </w:r>
      <w:r w:rsidR="00086585" w:rsidRPr="00417001">
        <w:rPr>
          <w:b/>
          <w:sz w:val="26"/>
          <w:szCs w:val="26"/>
        </w:rPr>
        <w:t>.</w:t>
      </w:r>
    </w:p>
    <w:p w:rsidR="007F5D98" w:rsidRDefault="00417001" w:rsidP="00FB0FBC">
      <w:pPr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 </w:t>
      </w:r>
      <w:r w:rsidRPr="00417001">
        <w:rPr>
          <w:sz w:val="26"/>
          <w:szCs w:val="26"/>
        </w:rPr>
        <w:t>инвестици</w:t>
      </w:r>
      <w:r>
        <w:rPr>
          <w:sz w:val="26"/>
          <w:szCs w:val="26"/>
        </w:rPr>
        <w:t>онных проектов</w:t>
      </w:r>
      <w:r w:rsidRPr="00417001">
        <w:rPr>
          <w:sz w:val="26"/>
          <w:szCs w:val="26"/>
        </w:rPr>
        <w:t xml:space="preserve"> </w:t>
      </w:r>
      <w:r w:rsidR="00FB0FBC" w:rsidRPr="00417001">
        <w:rPr>
          <w:sz w:val="26"/>
          <w:szCs w:val="26"/>
        </w:rPr>
        <w:t xml:space="preserve">– </w:t>
      </w:r>
      <w:r w:rsidR="007F5D98">
        <w:rPr>
          <w:sz w:val="26"/>
          <w:szCs w:val="26"/>
        </w:rPr>
        <w:t xml:space="preserve">своевременное обновление </w:t>
      </w:r>
      <w:r w:rsidR="00D63BDD">
        <w:rPr>
          <w:sz w:val="26"/>
          <w:szCs w:val="26"/>
        </w:rPr>
        <w:t>и внедрение информационных электронных сервисов</w:t>
      </w:r>
      <w:r w:rsidR="007F5D98">
        <w:rPr>
          <w:sz w:val="26"/>
          <w:szCs w:val="26"/>
        </w:rPr>
        <w:t>, модернизация локальной, корпоративной</w:t>
      </w:r>
      <w:r w:rsidR="007F5D98" w:rsidRPr="007F5D98">
        <w:rPr>
          <w:sz w:val="26"/>
          <w:szCs w:val="26"/>
        </w:rPr>
        <w:t xml:space="preserve"> </w:t>
      </w:r>
      <w:r w:rsidR="007F5D98" w:rsidRPr="00417001">
        <w:rPr>
          <w:sz w:val="26"/>
          <w:szCs w:val="26"/>
        </w:rPr>
        <w:t>и телефонной сети</w:t>
      </w:r>
      <w:r w:rsidR="007F5D98">
        <w:rPr>
          <w:sz w:val="26"/>
          <w:szCs w:val="26"/>
        </w:rPr>
        <w:t>, приобретение более емких и надежных серверов для бесперебойной работы</w:t>
      </w:r>
      <w:r w:rsidR="00D63BDD">
        <w:rPr>
          <w:sz w:val="26"/>
          <w:szCs w:val="26"/>
        </w:rPr>
        <w:t xml:space="preserve"> системы</w:t>
      </w:r>
      <w:r w:rsidR="007F5D98">
        <w:rPr>
          <w:sz w:val="26"/>
          <w:szCs w:val="26"/>
        </w:rPr>
        <w:t xml:space="preserve"> расчет</w:t>
      </w:r>
      <w:r w:rsidR="00D63BDD">
        <w:rPr>
          <w:sz w:val="26"/>
          <w:szCs w:val="26"/>
        </w:rPr>
        <w:t>ов</w:t>
      </w:r>
      <w:r w:rsidR="007F5D98">
        <w:rPr>
          <w:sz w:val="26"/>
          <w:szCs w:val="26"/>
        </w:rPr>
        <w:t xml:space="preserve"> с потребителями.</w:t>
      </w:r>
    </w:p>
    <w:p w:rsidR="009A28EC" w:rsidRPr="00417001" w:rsidRDefault="009A28EC" w:rsidP="00FB0FBC">
      <w:pPr>
        <w:ind w:left="851"/>
        <w:jc w:val="both"/>
        <w:rPr>
          <w:sz w:val="26"/>
          <w:szCs w:val="26"/>
        </w:rPr>
      </w:pPr>
    </w:p>
    <w:p w:rsidR="00AB5888" w:rsidRDefault="00AB5888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086585" w:rsidRPr="00417001" w:rsidRDefault="00D16979" w:rsidP="00D16979">
      <w:pPr>
        <w:ind w:left="851" w:hanging="284"/>
        <w:jc w:val="both"/>
        <w:rPr>
          <w:b/>
          <w:sz w:val="26"/>
          <w:szCs w:val="26"/>
        </w:rPr>
      </w:pPr>
      <w:r w:rsidRPr="00417001">
        <w:rPr>
          <w:b/>
          <w:sz w:val="26"/>
          <w:szCs w:val="26"/>
        </w:rPr>
        <w:lastRenderedPageBreak/>
        <w:t xml:space="preserve">3. Мероприятия по </w:t>
      </w:r>
      <w:r w:rsidR="00130090">
        <w:rPr>
          <w:b/>
          <w:sz w:val="26"/>
          <w:szCs w:val="26"/>
        </w:rPr>
        <w:t>приобретению техники и инвентаря</w:t>
      </w:r>
      <w:r w:rsidRPr="00417001">
        <w:rPr>
          <w:b/>
          <w:sz w:val="26"/>
          <w:szCs w:val="26"/>
        </w:rPr>
        <w:t>.</w:t>
      </w:r>
    </w:p>
    <w:p w:rsidR="00417001" w:rsidRDefault="00130090" w:rsidP="002361A8">
      <w:pPr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 </w:t>
      </w:r>
      <w:r w:rsidRPr="00417001">
        <w:rPr>
          <w:sz w:val="26"/>
          <w:szCs w:val="26"/>
        </w:rPr>
        <w:t>инвестици</w:t>
      </w:r>
      <w:r>
        <w:rPr>
          <w:sz w:val="26"/>
          <w:szCs w:val="26"/>
        </w:rPr>
        <w:t>онных проектов</w:t>
      </w:r>
      <w:r w:rsidRPr="00417001">
        <w:rPr>
          <w:sz w:val="26"/>
          <w:szCs w:val="26"/>
        </w:rPr>
        <w:t xml:space="preserve"> – </w:t>
      </w:r>
      <w:r>
        <w:rPr>
          <w:sz w:val="26"/>
          <w:szCs w:val="26"/>
        </w:rPr>
        <w:t xml:space="preserve">своевременное обновление парка автотранспортных средств, </w:t>
      </w:r>
      <w:r w:rsidRPr="00130090">
        <w:rPr>
          <w:sz w:val="26"/>
          <w:szCs w:val="26"/>
        </w:rPr>
        <w:t>эксплуатационный срок которых составляет 5 и более лет, ввиду нерентабельности их ремонта (изношенность узлов и агрегатов)</w:t>
      </w:r>
      <w:r>
        <w:rPr>
          <w:sz w:val="26"/>
          <w:szCs w:val="26"/>
        </w:rPr>
        <w:t>.</w:t>
      </w:r>
      <w:r w:rsidRPr="00130090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130090">
        <w:rPr>
          <w:sz w:val="26"/>
          <w:szCs w:val="26"/>
        </w:rPr>
        <w:t xml:space="preserve">следствие </w:t>
      </w:r>
      <w:r>
        <w:rPr>
          <w:sz w:val="26"/>
          <w:szCs w:val="26"/>
        </w:rPr>
        <w:t>износа</w:t>
      </w:r>
      <w:r w:rsidRPr="00130090">
        <w:rPr>
          <w:sz w:val="26"/>
          <w:szCs w:val="26"/>
        </w:rPr>
        <w:t xml:space="preserve"> п</w:t>
      </w:r>
      <w:r w:rsidR="00D63BDD">
        <w:rPr>
          <w:sz w:val="26"/>
          <w:szCs w:val="26"/>
        </w:rPr>
        <w:t xml:space="preserve">роисходит </w:t>
      </w:r>
      <w:r w:rsidR="00EC56FD">
        <w:rPr>
          <w:sz w:val="26"/>
          <w:szCs w:val="26"/>
        </w:rPr>
        <w:t xml:space="preserve">увеличение </w:t>
      </w:r>
      <w:r w:rsidR="00D63BDD">
        <w:rPr>
          <w:sz w:val="26"/>
          <w:szCs w:val="26"/>
        </w:rPr>
        <w:t>затрат на замену механизмов и запасных частей, также возрастает</w:t>
      </w:r>
      <w:r w:rsidRPr="00130090">
        <w:rPr>
          <w:sz w:val="26"/>
          <w:szCs w:val="26"/>
        </w:rPr>
        <w:t xml:space="preserve"> количество ремонтов</w:t>
      </w:r>
      <w:r w:rsidR="00417001" w:rsidRPr="00417001">
        <w:rPr>
          <w:sz w:val="26"/>
          <w:szCs w:val="26"/>
        </w:rPr>
        <w:t xml:space="preserve">. </w:t>
      </w:r>
    </w:p>
    <w:p w:rsidR="009A28EC" w:rsidRPr="008240C5" w:rsidRDefault="009A28EC" w:rsidP="002361A8">
      <w:pPr>
        <w:jc w:val="both"/>
        <w:rPr>
          <w:sz w:val="26"/>
          <w:szCs w:val="26"/>
        </w:rPr>
      </w:pPr>
    </w:p>
    <w:p w:rsidR="008240C5" w:rsidRDefault="008240C5" w:rsidP="002361A8">
      <w:pPr>
        <w:jc w:val="both"/>
        <w:rPr>
          <w:sz w:val="26"/>
          <w:szCs w:val="26"/>
        </w:rPr>
      </w:pPr>
      <w:r w:rsidRPr="00672F7F">
        <w:rPr>
          <w:sz w:val="26"/>
          <w:szCs w:val="26"/>
        </w:rPr>
        <w:tab/>
      </w:r>
      <w:r>
        <w:rPr>
          <w:sz w:val="26"/>
          <w:szCs w:val="26"/>
        </w:rPr>
        <w:t>Поскольку АО «Петербургская сбытовая компания» является гарантирующим поставщиком электрической энергии на территории Санкт-Петербурга</w:t>
      </w:r>
      <w:r w:rsidR="00F240D4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Ленинградской области, распределение проектов, имеющих отношение к нескольким регионам присутствия, осуществляется пропорционально драйверу </w:t>
      </w:r>
      <w:r w:rsidR="00111E97">
        <w:rPr>
          <w:sz w:val="26"/>
          <w:szCs w:val="26"/>
        </w:rPr>
        <w:t>количества точек поставки потребителям электрической энергии.</w:t>
      </w:r>
    </w:p>
    <w:p w:rsidR="00AF3D93" w:rsidRDefault="00AF3D93" w:rsidP="002361A8">
      <w:pPr>
        <w:jc w:val="both"/>
        <w:rPr>
          <w:sz w:val="26"/>
          <w:szCs w:val="26"/>
        </w:rPr>
      </w:pPr>
    </w:p>
    <w:p w:rsidR="00AF3D93" w:rsidRDefault="00AF3D93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F3D93" w:rsidRDefault="00AF3D93" w:rsidP="002361A8">
      <w:pPr>
        <w:jc w:val="both"/>
        <w:rPr>
          <w:sz w:val="26"/>
          <w:szCs w:val="26"/>
        </w:rPr>
        <w:sectPr w:rsidR="00AF3D93" w:rsidSect="00152592">
          <w:pgSz w:w="12240" w:h="15840"/>
          <w:pgMar w:top="567" w:right="758" w:bottom="709" w:left="1418" w:header="709" w:footer="709" w:gutter="0"/>
          <w:cols w:space="708"/>
          <w:docGrid w:linePitch="360"/>
        </w:sectPr>
      </w:pPr>
    </w:p>
    <w:p w:rsidR="00AF3D93" w:rsidRDefault="00970A23" w:rsidP="002361A8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соответствии с п. </w:t>
      </w:r>
      <w:r w:rsidR="005B325D">
        <w:rPr>
          <w:sz w:val="26"/>
          <w:szCs w:val="26"/>
        </w:rPr>
        <w:t>46</w:t>
      </w:r>
      <w:r>
        <w:rPr>
          <w:sz w:val="26"/>
          <w:szCs w:val="26"/>
        </w:rPr>
        <w:t xml:space="preserve"> «б» п</w:t>
      </w:r>
      <w:r w:rsidRPr="00970A23">
        <w:rPr>
          <w:sz w:val="26"/>
          <w:szCs w:val="26"/>
        </w:rPr>
        <w:t>остановлени</w:t>
      </w:r>
      <w:r>
        <w:rPr>
          <w:sz w:val="26"/>
          <w:szCs w:val="26"/>
        </w:rPr>
        <w:t>я</w:t>
      </w:r>
      <w:r w:rsidRPr="00970A23">
        <w:rPr>
          <w:sz w:val="26"/>
          <w:szCs w:val="26"/>
        </w:rPr>
        <w:t xml:space="preserve"> Прави</w:t>
      </w:r>
      <w:r w:rsidR="00EC56FD">
        <w:rPr>
          <w:sz w:val="26"/>
          <w:szCs w:val="26"/>
        </w:rPr>
        <w:t>тельства РФ от 21.01.2004 N 24</w:t>
      </w:r>
      <w:r w:rsidRPr="00970A23">
        <w:rPr>
          <w:sz w:val="26"/>
          <w:szCs w:val="26"/>
        </w:rPr>
        <w:t xml:space="preserve"> </w:t>
      </w:r>
      <w:r w:rsidR="005B325D">
        <w:rPr>
          <w:sz w:val="26"/>
          <w:szCs w:val="26"/>
        </w:rPr>
        <w:t>«</w:t>
      </w:r>
      <w:r w:rsidRPr="00970A23">
        <w:rPr>
          <w:sz w:val="26"/>
          <w:szCs w:val="26"/>
        </w:rPr>
        <w:t>Об утверждении стандартов раскрытия информации субъектами оптового и розничных рынков электрической энергии</w:t>
      </w:r>
      <w:r w:rsidR="005B325D">
        <w:rPr>
          <w:sz w:val="26"/>
          <w:szCs w:val="26"/>
        </w:rPr>
        <w:t>»</w:t>
      </w:r>
      <w:r>
        <w:rPr>
          <w:sz w:val="26"/>
          <w:szCs w:val="26"/>
        </w:rPr>
        <w:t xml:space="preserve"> раскрывается следующая информация:</w:t>
      </w:r>
    </w:p>
    <w:p w:rsidR="00AF3D93" w:rsidRDefault="00AF3D93" w:rsidP="002361A8">
      <w:pPr>
        <w:jc w:val="both"/>
        <w:rPr>
          <w:sz w:val="26"/>
          <w:szCs w:val="26"/>
        </w:rPr>
      </w:pPr>
    </w:p>
    <w:tbl>
      <w:tblPr>
        <w:tblW w:w="20356" w:type="dxa"/>
        <w:tblLook w:val="04A0" w:firstRow="1" w:lastRow="0" w:firstColumn="1" w:lastColumn="0" w:noHBand="0" w:noVBand="1"/>
      </w:tblPr>
      <w:tblGrid>
        <w:gridCol w:w="1464"/>
        <w:gridCol w:w="2201"/>
        <w:gridCol w:w="2690"/>
        <w:gridCol w:w="5831"/>
        <w:gridCol w:w="2653"/>
        <w:gridCol w:w="1434"/>
        <w:gridCol w:w="1094"/>
        <w:gridCol w:w="1424"/>
        <w:gridCol w:w="1553"/>
        <w:gridCol w:w="12"/>
      </w:tblGrid>
      <w:tr w:rsidR="001116A7" w:rsidRPr="001116A7" w:rsidTr="001116A7">
        <w:trPr>
          <w:gridAfter w:val="1"/>
          <w:wAfter w:w="12" w:type="dxa"/>
          <w:trHeight w:val="765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color w:val="000000"/>
              </w:rPr>
            </w:pPr>
            <w:r w:rsidRPr="001116A7">
              <w:rPr>
                <w:color w:val="000000"/>
              </w:rPr>
              <w:t>код проекта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color w:val="000000"/>
              </w:rPr>
            </w:pPr>
            <w:r w:rsidRPr="001116A7">
              <w:rPr>
                <w:color w:val="000000"/>
              </w:rPr>
              <w:t>наименование проекта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color w:val="000000"/>
              </w:rPr>
            </w:pPr>
            <w:r w:rsidRPr="001116A7">
              <w:rPr>
                <w:color w:val="000000"/>
              </w:rPr>
              <w:t>цели проекта</w:t>
            </w:r>
          </w:p>
        </w:tc>
        <w:tc>
          <w:tcPr>
            <w:tcW w:w="5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color w:val="000000"/>
              </w:rPr>
            </w:pPr>
            <w:r w:rsidRPr="001116A7">
              <w:rPr>
                <w:color w:val="000000"/>
              </w:rPr>
              <w:t>обоснование необходимости реализации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color w:val="000000"/>
              </w:rPr>
            </w:pPr>
            <w:r w:rsidRPr="001116A7">
              <w:rPr>
                <w:color w:val="000000"/>
              </w:rPr>
              <w:t>характеристика объекта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color w:val="000000"/>
              </w:rPr>
            </w:pPr>
            <w:r w:rsidRPr="001116A7">
              <w:rPr>
                <w:color w:val="000000"/>
              </w:rPr>
              <w:t>место расположения объекта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color w:val="000000"/>
              </w:rPr>
            </w:pPr>
            <w:r w:rsidRPr="001116A7">
              <w:rPr>
                <w:color w:val="000000"/>
              </w:rPr>
              <w:t>полная стоимость проекта, млн руб. без НДС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color w:val="000000"/>
              </w:rPr>
            </w:pPr>
            <w:r w:rsidRPr="001116A7">
              <w:rPr>
                <w:color w:val="000000"/>
              </w:rPr>
              <w:t>срок ввода в эксплуатацию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color w:val="000000"/>
              </w:rPr>
            </w:pPr>
            <w:r w:rsidRPr="001116A7">
              <w:rPr>
                <w:color w:val="000000"/>
              </w:rPr>
              <w:t>показатель энергетической эффективности оборудования</w:t>
            </w:r>
          </w:p>
        </w:tc>
      </w:tr>
      <w:tr w:rsidR="001116A7" w:rsidRPr="001116A7" w:rsidTr="001116A7">
        <w:trPr>
          <w:trHeight w:val="255"/>
        </w:trPr>
        <w:tc>
          <w:tcPr>
            <w:tcW w:w="20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b/>
                <w:bCs/>
                <w:color w:val="000000"/>
              </w:rPr>
            </w:pPr>
            <w:r w:rsidRPr="001116A7">
              <w:rPr>
                <w:b/>
                <w:bCs/>
                <w:color w:val="000000"/>
              </w:rPr>
              <w:t>ИТ – мероприятия</w:t>
            </w:r>
          </w:p>
        </w:tc>
      </w:tr>
      <w:tr w:rsidR="001116A7" w:rsidRPr="001116A7" w:rsidTr="001116A7">
        <w:trPr>
          <w:gridAfter w:val="1"/>
          <w:wAfter w:w="12" w:type="dxa"/>
          <w:trHeight w:val="41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O_15.26.0295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системы «CRM юридических лиц» в 2026 году 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развития системы «CRM юридических лиц» является расширение ее функциональных возможностей в части: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- повышения эффективности работы сотрудников и сокращения времени на обработку обращений клиентов за счет автоматизации основных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>- обеспечения электронного документооборота в рамках работы с клиентами на базе CRM;</w:t>
            </w:r>
            <w:r w:rsidRPr="001116A7">
              <w:rPr>
                <w:rFonts w:ascii="Calibri" w:hAnsi="Calibri" w:cs="Calibri"/>
                <w:color w:val="000000"/>
              </w:rPr>
              <w:br/>
              <w:t>- настройки глубокого анализа данных о клиентской базе компании;</w:t>
            </w:r>
            <w:r w:rsidRPr="001116A7">
              <w:rPr>
                <w:rFonts w:ascii="Calibri" w:hAnsi="Calibri" w:cs="Calibri"/>
                <w:color w:val="000000"/>
              </w:rPr>
              <w:br/>
              <w:t>- упрощение информационного взаимодействия между Обществом и конечным клиентом;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- реализации поиска статистических закономерностей в данных для выработки наиболее эффективной стратегии маркетинга, продаж, обслуживания клиентов и т.п. 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  В 2019 году были проведены работы по проекту Группы «Интер РАО» для создания и внедрения системы «CRM юридических л</w:t>
            </w:r>
            <w:bookmarkStart w:id="0" w:name="_GoBack"/>
            <w:bookmarkEnd w:id="0"/>
            <w:r w:rsidRPr="001116A7">
              <w:rPr>
                <w:rFonts w:ascii="Calibri" w:hAnsi="Calibri" w:cs="Calibri"/>
                <w:color w:val="000000"/>
              </w:rPr>
              <w:t>иц» (далее – «Система»). В 2020 году автоматизирована часть основных бизнес-процессов взаимодействия с клиентами Общества.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В рамках развития Системы «CRM юридических лиц» в 2026 году будут выполнены задачи по развитию Системы, что позволит повысить уровень удовлетворенности клиентов и сотрудников АО «Петербургская сбытовая компания» за счет снижения репутационных рисков Общества и устранения инцидентов по критичным для бизнеса процессам и операциям.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Результатом развития Системы является увеличение количества и качества on-line коммуникаций с клиентами. Информационная система посредством интеграции с биллинговыми системами будет осуществлять автоматическую информационную рассылку потребителям Общества о выставлении платежно-расчетных документов, уведомлений о задолженности, сроках оплаты и отключениях.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В случае отказа от реализации проекта Общество не сможет развиваться в направлении повышения качества и доступности дистанционного обслуживания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5,75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71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O_15.27.0295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системы «CRM юридических лиц» в 2027 году 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развития системы «CRM юридических лиц» является расширение ее функциональных возможностей в части: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- повышения эффективности работы сотрудников и сокращения времени на обработку обращений клиентов за счет автоматизации основных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>- обеспечения электронного документооборота в рамках работы с клиентами на базе CRM;</w:t>
            </w:r>
            <w:r w:rsidRPr="001116A7">
              <w:rPr>
                <w:rFonts w:ascii="Calibri" w:hAnsi="Calibri" w:cs="Calibri"/>
                <w:color w:val="000000"/>
              </w:rPr>
              <w:br/>
              <w:t>- настройки глубокого анализа данных о клиентской базе компании;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- упрощение информационного взаимодействия между Обществом и конечным клиентом;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- реализации поиска статистических закономерностей в данных для выработки наиболее эффективной стратегии маркетинга, продаж, обслуживания клиентов и т.п. 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 xml:space="preserve">       В 2019 году были проведены работы по проекту Группы «Интер РАО» для создания и внедрения системы «CRM юридических лиц» (далее – «Система»). В 2020 году автоматизирована часть основных бизнес-процессов взаимодействия с клиентами Общества.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В рамках развития Системы «CRM юридических лиц» в 2027 году будут выполнены задачи по развитию Системы, что позволит повысить уровень удовлетворенности клиентов и сотрудников АО «Петербургская сбытовая компания» за счет снижения репутационных рисков Общества и устранения инцидентов по критичным для бизнеса процессам и операциям.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Результатом развития Системы является увеличение количества и качества on-line коммуникаций с клиентами. Информационная система посредством интеграции с биллинговыми системами будет осуществлять автоматическую информационную рассылку потребителям Общества о выставлении платежно-расчетных документов, уведомлений о задолженности, сроках оплаты и отключениях.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В случае отказа от реализации проекта Общество не сможет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развиваться в направлении повышения качества и доступности дистанционного обслуживания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6,01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382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P_15.28.0295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системы «CRM юридических лиц» в 2028 году 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развития системы «CRM юридических лиц» является расширение ее функциональных возможностей в части: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- повышения эффективности работы сотрудников и сокращения времени на обработку обращений клиентов за счет автоматизации основных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>- обеспечения электронного документооборота в рамках работы с клиентами на базе CRM;</w:t>
            </w:r>
            <w:r w:rsidRPr="001116A7">
              <w:rPr>
                <w:rFonts w:ascii="Calibri" w:hAnsi="Calibri" w:cs="Calibri"/>
                <w:color w:val="000000"/>
              </w:rPr>
              <w:br/>
              <w:t>- настройки глубокого анализа данных о клиентской базе компании;</w:t>
            </w:r>
            <w:r w:rsidRPr="001116A7">
              <w:rPr>
                <w:rFonts w:ascii="Calibri" w:hAnsi="Calibri" w:cs="Calibri"/>
                <w:color w:val="000000"/>
              </w:rPr>
              <w:br/>
              <w:t>- упрощение информационного взаимодействия между Обществом и конечным клиентом;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- реализации поиска статистических закономерностей в данных для выработки наиболее эффективной стратегии маркетинга, продаж, обслуживания клиентов и т.п. 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  В 2019 году были проведены работы по проекту Группы «Интер РАО» для создания и внедрения системы «CRM юридических лиц» (далее – «Система»). В 2020 году автоматизирована часть основных бизнес-процессов взаимодействия с клиентами Общества.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В рамках развития Системы «CRM юридических лиц» в 2028 году будут выполнены задачи по развитию Системы, что позволит повысить уровень удовлетворенности клиентов и сотрудников АО «Петербургская сбытовая компания» за счет снижения репутационных рисков Общества и устранения инцидентов по критичным для бизнеса процессам и операциям.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Результатом развития Системы является увеличение количества и качества on-line коммуникаций с клиентами. Информационная система посредством интеграции с биллинговыми системами будет осуществлять автоматическую информационную рассылку потребителям Общества о выставлении платежно-расчетных документов, уведомлений о задолженности, сроках оплаты и отключениях.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В случае отказа от реализации проекта Общество не сможет развиваться в направлении повышения качества и доступности дистанционного обслуживания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6,27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30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Q_15.29.0295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системы «CRM юридических лиц» в 2029 году 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развития системы «CRM юридических лиц» является расширение ее функциональных возможностей в части: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- повышения эффективности работы сотрудников и сокращения времени на обработку обращений клиентов за счет автоматизации основных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>- обеспечения электронного документооборота в рамках работы с клиентами на базе CRM;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- настройки глубокого анализа данных о клиентской базе компании;</w:t>
            </w:r>
            <w:r w:rsidRPr="001116A7">
              <w:rPr>
                <w:rFonts w:ascii="Calibri" w:hAnsi="Calibri" w:cs="Calibri"/>
                <w:color w:val="000000"/>
              </w:rPr>
              <w:br/>
              <w:t>- упрощение информационного взаимодействия между Обществом и конечным клиентом;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- реализации поиска статистических закономерностей в данных для выработки наиболее эффективной стратегии маркетинга, продаж, обслуживания клиентов и т.п. 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 xml:space="preserve">       В 2019 году были проведены работы по проекту Группы «Интер РАО» для создания и внедрения системы «CRM юридических лиц» (далее – «Система»). В 2020 году автоматизирована часть основных бизнес-процессов взаимодействия с клиентами Общества.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В рамках развития Системы «CRM юридических лиц» в 2029 году будут выполнены задачи по развитию Системы, что позволит повысить уровень удовлетворенности клиентов и сотрудников АО «Петербургская сбытовая компания» за счет снижения репутационных рисков Общества и устранения инцидентов по критичным для бизнеса процессам и операциям.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Результатом развития Системы является увеличение количества и качества on-line коммуникаций с клиентами. Информационная система посредством интеграции с биллинговыми системами будет осуществлять автоматическую информационную рассылку потребителям Общества о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выставлении платежно-расчетных документов, уведомлений о задолженности, сроках оплаты и отключениях.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В случае отказа от реализации проекта Общество не сможет развиваться в направлении повышения качества и доступности дистанционного обслуживания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6,51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2029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324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O_15.26.0296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системы «Единый биллинг юридических лиц. Импортозамещенная конфигурация» в 2026 году 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модернизации Системы является расширение функциональных возможностей системы в соответствие с изменениями федерального и регионального законодательства в течение  2026 года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     В Единой биллинговой системе для расчетов с юридическими лицами, импортозамещенная конфигурация (далее – Системе) находится весь объем договоров АО «Петербургская сбытовая компания».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Объект и область применения автоматизации: Система – предназначена для автоматизации бизнес-процессов сбытовой деятельности компании в части биллинга юридических лиц.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В случае отказа от реализации данного проекта возникнут риски не работоспособности Системы, корректного процесса начислений.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3,21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23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O_15.27.0296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системы «Единый биллинг юридических лиц. Импортозамещенная конфигурация» в 2027 году 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модернизации Системы является расширение функциональных возможностей системы в соответствие с изменениями федерального и регионального законодательства в течение  2027 года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     В Единой биллинговой системе для расчетов с юридическими лицами, импортозамещенная конфигурация (далее – Системе) находится весь объем договоров АО «Петербургская сбытовая компания».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Объект и область применения автоматизации: Система – предназначена для автоматизации бизнес-процессов сбытовой деятельности компании в части биллинга юридических лиц.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В случае отказа от реализации данного проекта возникнут риски не работоспособности Системы, корректного процесса начислений.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3,36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23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P_15.28.0296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системы «Единый биллинг юридических лиц. Импортозамещенная конфигурация» в 2028 году 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модернизации Системы является расширение функциональных возможностей системы в соответствие с изменениями федерального и регионального законодательства в течение  2028 года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     В Единой биллинговой системе для расчетов с юридическими лицами, импортозамещенная конфигурация (далее – Системе) находится весь объем договоров АО «Петербургская сбытовая компания».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Объект и область применения автоматизации: Система – предназначена для автоматизации бизнес-процессов сбытовой деятельности компании в части биллинга юридических лиц.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В случае отказа от реализации данного проекта возникнут риски не работоспособности Системы, корректного процесса начислений.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3,51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30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Q_15.29.0296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системы «Единый биллинг юридических лиц. Импортозамещенная конфигурация» в 2029 году 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модернизации Системы является расширение функциональных возможностей системы в соответствие с изменениями федерального и регионального законодательства в течение  2028 года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     В Единой биллинговой системе для расчетов с юридическими лицами, импортозамещенная конфигурация (далее – Системе) находится весь объем договоров АО «Петербургская сбытовая компания».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Объект и область применения автоматизации: Система – предназначена для автоматизации бизнес-процессов сбытовой деятельности компании в части биллинга юридических лиц.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В случае отказа от реализации данного проекта возникнут риски не работоспособности Системы, корректного процесса начислений.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3,64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2029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30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O_15.26.0390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каналов взаимодействия с клиентами в 2026 году,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существующего нематериального актива в виде ЛКК, сайта и других имеющихся цифровых каналов, охватывающих все точки онлайн-взаимодействия с клиентом Группы, поддерживающей единый подход к взаимодействию с клиентами в части дизайна, сценариев взаимодействия, функционала и клиентского опыта.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Анализ внутренней среды, внутренние предпосылки проекта.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1. Нет единого стандартизированного решения для ЭСК и ЕИРЦ;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В некоторых ДО в текущих версиях личного кабинета (далее – ЛКК) отсутствует базовый функционал (заказ услуги КС, подписка на эл. счёт, автоплатеж, управление подпиской смс, мессенджеры и т.п.); </w:t>
            </w:r>
            <w:r w:rsidRPr="001116A7">
              <w:rPr>
                <w:rFonts w:ascii="Calibri" w:hAnsi="Calibri" w:cs="Calibri"/>
                <w:color w:val="000000"/>
              </w:rPr>
              <w:br/>
              <w:t>• Нет единой платформы. В каждом регионе функциональность развивается отдельно со своим собственным набором технологий. При этом, функционал средств взаимодействия с пользователями в различных ДО не объединён между собой, что затрудняет проведение кампаний и исследований по всей клиентской базе одновременно, а также затрудняет получение общей картины клиентской базы по Группе, а дублирование разработок функционала и необходимость интеграции со множеством локальных ИТ-систем и их отдельных экземпляров различных ДО существенно увеличивает стоимость проектов и сроки реализации проектов.</w:t>
            </w:r>
            <w:r w:rsidRPr="001116A7">
              <w:rPr>
                <w:rFonts w:ascii="Calibri" w:hAnsi="Calibri" w:cs="Calibri"/>
                <w:color w:val="000000"/>
              </w:rPr>
              <w:br/>
              <w:t>• Отсутствует механизм централизованного управления цифровыми каналами ДО в части аналитики и проведения централизованных маркетинговых мероприятий, а также оперативного внедрения нового функционала в качестве реакции на внешние вызовы (изменения законодательства, рыночные вызовы).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После внедрения платформы «Клиент-Онлайн» был осуществлен переход цифровых каналов энергосбытовых компаний и ЕИРЦ на единую Платформу и под единое управление в дочернее общество АО «Мосэнергосбыт» (правообладатель), а также была осуществлена интеграция Платформы с информационными системами компаний Группы.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После внедрения платформы «Клиент-Онлайн» требуется ее развитие для поддержания работоспособности платформы.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Ключевые параметры экосистемы: </w:t>
            </w:r>
            <w:r w:rsidRPr="001116A7">
              <w:rPr>
                <w:rFonts w:ascii="Calibri" w:hAnsi="Calibri" w:cs="Calibri"/>
                <w:color w:val="000000"/>
              </w:rPr>
              <w:br/>
              <w:t>• максимально возможный набор сервисов с удобным интерфейсом и решением всех вопросов в «одном окне»,</w:t>
            </w:r>
            <w:r w:rsidRPr="001116A7">
              <w:rPr>
                <w:rFonts w:ascii="Calibri" w:hAnsi="Calibri" w:cs="Calibri"/>
                <w:color w:val="000000"/>
              </w:rPr>
              <w:br/>
              <w:t>• формирование у клиента привычки использования сервисов компании, частота использования онлайн сервиса компании (в идеале ежедневный контакт),</w:t>
            </w:r>
            <w:r w:rsidRPr="001116A7">
              <w:rPr>
                <w:rFonts w:ascii="Calibri" w:hAnsi="Calibri" w:cs="Calibri"/>
                <w:color w:val="000000"/>
              </w:rPr>
              <w:br/>
              <w:t>• привыкание к интерфейсу экосистемы, нежелание клиента уходить в онлайн канал другой компании.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Например, уже сейчас почти 80% клиентов ЭСК и ЕИРЦ выбирают каналы сторонних компаний (внешних платёжных агентов) для оплаты счетов за электроэнергию, при этом 42% всех оплат за электроэнергию идёт через ПАО «Сбербанк». Стратегическая задача – создать свою экосистему с уникальным торговым предложением (далее - УТП), сформировать свою стабильную клиентскую базу. В рамках перехода АО «ПСК» на единую Платформу будут осуществлены работы по развитию систем, относящихся к цифровым каналам взаимодействия с клиентами: личные кабинеты физических и юридических лиц (веб-версии и мобильные приложения), сайт Общества.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Анализ внутренней среды,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внутренние предпосылки проекта.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1. Нет единого стандартизированного решения для ЭСК и ЕИРЦ;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В некоторых ДО в текущих версиях личного кабинета (далее – ЛКК) отсутствует базовый функционал (заказ услуги КС, подписка на эл. счёт, автоплатеж, управление подпиской смс, мессенджеры и т.п.); </w:t>
            </w:r>
            <w:r w:rsidRPr="001116A7">
              <w:rPr>
                <w:rFonts w:ascii="Calibri" w:hAnsi="Calibri" w:cs="Calibri"/>
                <w:color w:val="000000"/>
              </w:rPr>
              <w:br/>
              <w:t>• Только несколько компаний имеют мобильное приложение (далее - МП).</w:t>
            </w:r>
            <w:r w:rsidRPr="001116A7">
              <w:rPr>
                <w:rFonts w:ascii="Calibri" w:hAnsi="Calibri" w:cs="Calibri"/>
                <w:color w:val="000000"/>
              </w:rPr>
              <w:br/>
              <w:t>• Нет единой платформы. В каждом регионе функциональность развивается отдельно со своим собственным набором технологий. При этом, функционал средств взаимодействия с пользователями в различных ДО не объединён между собой, что затрудняет проведение кампаний и исследований по всей клиентской базе одновременно, а также затрудняет получение общей картины клиентской базы по Группе, а дублирование разработок функционала и необходимость интеграции со множеством локальных ИТ-систем и их отдельных экземпляров различных ДО существенно увеличивает стоимость проектов и сроки реализации проектов.</w:t>
            </w:r>
            <w:r w:rsidRPr="001116A7">
              <w:rPr>
                <w:rFonts w:ascii="Calibri" w:hAnsi="Calibri" w:cs="Calibri"/>
                <w:color w:val="000000"/>
              </w:rPr>
              <w:br/>
              <w:t>• Отсутствует механизм централизованного управления цифровыми каналами ДО в части аналитики и проведения централизованных маркетинговых мероприятий, а также оперативного внедрения нового функционала в качестве реакции на внешние вызовы (изменения законодательства, рыночные вызовы).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2. Клиентские сервисы в ЭСК и ЕИРЦ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проектировались с учётом требований множества бизнес-заказчиков, без глубокого анализа пожеланий клиента.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3,83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30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O_15.27.0390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каналов взаимодействия с клиентами в 2027 году,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существующего нематериального актива в виде ЛКК, сайта и других имеющихся цифровых каналов, охватывающих все точки онлайн-взаимодействия с клиентом Группы, поддерживающей единый подход к взаимодействию с клиентами в части дизайна, сценариев взаимодействия, функционала и клиентского опыта.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Анализ внутренней среды, внутренние предпосылки проекта.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1. Нет единого стандартизированного решения для ЭСК и ЕИРЦ;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В некоторых ДО в текущих версиях личного кабинета (далее – ЛКК) отсутствует базовый функционал (заказ услуги КС, подписка на эл. счёт, автоплатеж, управление подпиской смс, мессенджеры и т.п.); </w:t>
            </w:r>
            <w:r w:rsidRPr="001116A7">
              <w:rPr>
                <w:rFonts w:ascii="Calibri" w:hAnsi="Calibri" w:cs="Calibri"/>
                <w:color w:val="000000"/>
              </w:rPr>
              <w:br/>
              <w:t>• Нет единой платформы. В каждом регионе функциональность развивается отдельно со своим собственным набором технологий. При этом, функционал средств взаимодействия с пользователями в различных ДО не объединён между собой, что затрудняет проведение кампаний и исследований по всей клиентской базе одновременно, а также затрудняет получение общей картины клиентской базы по Группе, а дублирование разработок функционала и необходимость интеграции со множеством локальных ИТ-систем и их отдельных экземпляров различных ДО существенно увеличивает стоимость проектов и сроки реализации проектов.</w:t>
            </w:r>
            <w:r w:rsidRPr="001116A7">
              <w:rPr>
                <w:rFonts w:ascii="Calibri" w:hAnsi="Calibri" w:cs="Calibri"/>
                <w:color w:val="000000"/>
              </w:rPr>
              <w:br/>
              <w:t>• Отсутствует механизм централизованного управления цифровыми каналами ДО в части аналитики и проведения централизованных маркетинговых мероприятий, а также оперативного внедрения нового функционала в качестве реакции на внешние вызовы (изменения законодательства, рыночные вызовы).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После внедрения платформы «Клиент-Онлайн» был осуществлен переход цифровых каналов энергосбытовых компаний и ЕИРЦ на единую Платформу и под единое управление в дочернее общество АО «Мосэнергосбыт» (правообладатель), а также была осуществлена интеграция Платформы с информационными системами компаний Группы.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После внедрения платформы «Клиент-Онлайн» требуется ее развитие для поддержания работоспособности платформы.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Ключевые параметры экосистемы: </w:t>
            </w:r>
            <w:r w:rsidRPr="001116A7">
              <w:rPr>
                <w:rFonts w:ascii="Calibri" w:hAnsi="Calibri" w:cs="Calibri"/>
                <w:color w:val="000000"/>
              </w:rPr>
              <w:br/>
              <w:t>• максимально возможный набор сервисов с удобным интерфейсом и решением всех вопросов в «одном окне»,</w:t>
            </w:r>
            <w:r w:rsidRPr="001116A7">
              <w:rPr>
                <w:rFonts w:ascii="Calibri" w:hAnsi="Calibri" w:cs="Calibri"/>
                <w:color w:val="000000"/>
              </w:rPr>
              <w:br/>
              <w:t>• формирование у клиента привычки использования сервисов компании, частота использования онлайн сервиса компании (в идеале ежедневный контакт),</w:t>
            </w:r>
            <w:r w:rsidRPr="001116A7">
              <w:rPr>
                <w:rFonts w:ascii="Calibri" w:hAnsi="Calibri" w:cs="Calibri"/>
                <w:color w:val="000000"/>
              </w:rPr>
              <w:br/>
              <w:t>• привыкание к интерфейсу экосистемы, нежелание клиента уходить в онлайн канал другой компании.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Например, уже сейчас почти 80% клиентов ЭСК и ЕИРЦ выбирают каналы сторонних компаний (внешних платёжных агентов) для оплаты счетов за электроэнергию, при этом 42% всех оплат за электроэнергию идёт через ПАО «Сбербанк». Стратегическая задача – создать свою экосистему с уникальным торговым предложением (далее - УТП), сформировать свою стабильную клиентскую базу. В рамках перехода АО «ПСК» на единую Платформу будут осуществлены работы по развитию систем, относящихся к цифровым каналам взаимодействия с клиентами: личные кабинеты физических и юридических лиц (веб-версии и мобильные приложения), сайт Общества.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Анализ внутренней среды,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внутренние предпосылки проекта.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1. Нет единого стандартизированного решения для ЭСК и ЕИРЦ;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В некоторых ДО в текущих версиях личного кабинета (далее – ЛКК) отсутствует базовый функционал (заказ услуги КС, подписка на эл. счёт, автоплатеж, управление подпиской смс, мессенджеры и т.п.); </w:t>
            </w:r>
            <w:r w:rsidRPr="001116A7">
              <w:rPr>
                <w:rFonts w:ascii="Calibri" w:hAnsi="Calibri" w:cs="Calibri"/>
                <w:color w:val="000000"/>
              </w:rPr>
              <w:br/>
              <w:t>• Только несколько компаний имеют мобильное приложение (далее - МП).</w:t>
            </w:r>
            <w:r w:rsidRPr="001116A7">
              <w:rPr>
                <w:rFonts w:ascii="Calibri" w:hAnsi="Calibri" w:cs="Calibri"/>
                <w:color w:val="000000"/>
              </w:rPr>
              <w:br/>
              <w:t>• Нет единой платформы. В каждом регионе функциональность развивается отдельно со своим собственным набором технологий. При этом, функционал средств взаимодействия с пользователями в различных ДО не объединён между собой, что затрудняет проведение кампаний и исследований по всей клиентской базе одновременно, а также затрудняет получение общей картины клиентской базы по Группе, а дублирование разработок функционала и необходимость интеграции со множеством локальных ИТ-систем и их отдельных экземпляров различных ДО существенно увеличивает стоимость проектов и сроки реализации проектов.</w:t>
            </w:r>
            <w:r w:rsidRPr="001116A7">
              <w:rPr>
                <w:rFonts w:ascii="Calibri" w:hAnsi="Calibri" w:cs="Calibri"/>
                <w:color w:val="000000"/>
              </w:rPr>
              <w:br/>
              <w:t>• Отсутствует механизм централизованного управления цифровыми каналами ДО в части аналитики и проведения централизованных маркетинговых мероприятий, а также оперативного внедрения нового функционала в качестве реакции на внешние вызовы (изменения законодательства, рыночные вызовы).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2. Клиентские сервисы в ЭСК и ЕИРЦ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проектировались с учётом требований множества бизнес-заказчиков, без глубокого анализа пожеланий клиента.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4,00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30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P_15.28.0390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каналов взаимодействия с клиентами в 2028 году,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существующего нематериального актива в виде ЛКК, сайта и других имеющихся цифровых каналов, охватывающих все точки онлайн-взаимодействия с клиентом Группы, поддерживающей единый подход к взаимодействию с клиентами в части дизайна, сценариев взаимодействия, функционала и клиентского опыта.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Анализ внутренней среды, внутренние предпосылки проекта.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1. Нет единого стандартизированного решения для ЭСК и ЕИРЦ;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В некоторых ДО в текущих версиях личного кабинета (далее – ЛКК) отсутствует базовый функционал (заказ услуги КС, подписка на эл. счёт, автоплатеж, управление подпиской смс, мессенджеры и т.п.); </w:t>
            </w:r>
            <w:r w:rsidRPr="001116A7">
              <w:rPr>
                <w:rFonts w:ascii="Calibri" w:hAnsi="Calibri" w:cs="Calibri"/>
                <w:color w:val="000000"/>
              </w:rPr>
              <w:br/>
              <w:t>• Нет единой платформы. В каждом регионе функциональность развивается отдельно со своим собственным набором технологий. При этом, функционал средств взаимодействия с пользователями в различных ДО не объединён между собой, что затрудняет проведение кампаний и исследований по всей клиентской базе одновременно, а также затрудняет получение общей картины клиентской базы по Группе, а дублирование разработок функционала и необходимость интеграции со множеством локальных ИТ-систем и их отдельных экземпляров различных ДО существенно увеличивает стоимость проектов и сроки реализации проектов.</w:t>
            </w:r>
            <w:r w:rsidRPr="001116A7">
              <w:rPr>
                <w:rFonts w:ascii="Calibri" w:hAnsi="Calibri" w:cs="Calibri"/>
                <w:color w:val="000000"/>
              </w:rPr>
              <w:br/>
              <w:t>• Отсутствует механизм централизованного управления цифровыми каналами ДО в части аналитики и проведения централизованных маркетинговых мероприятий, а также оперативного внедрения нового функционала в качестве реакции на внешние вызовы (изменения законодательства, рыночные вызовы).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После внедрения платформы «Клиент-Онлайн» был осуществлен переход цифровых каналов энергосбытовых компаний и ЕИРЦ на единую Платформу и под единое управление в дочернее общество АО «Мосэнергосбыт» (правообладатель), а также была осуществлена интеграция Платформы с информационными системами компаний Группы.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После внедрения платформы «Клиент-Онлайн» требуется ее развитие для поддержания работоспособности платформы.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Ключевые параметры экосистемы: </w:t>
            </w:r>
            <w:r w:rsidRPr="001116A7">
              <w:rPr>
                <w:rFonts w:ascii="Calibri" w:hAnsi="Calibri" w:cs="Calibri"/>
                <w:color w:val="000000"/>
              </w:rPr>
              <w:br/>
              <w:t>• максимально возможный набор сервисов с удобным интерфейсом и решением всех вопросов в «одном окне»,</w:t>
            </w:r>
            <w:r w:rsidRPr="001116A7">
              <w:rPr>
                <w:rFonts w:ascii="Calibri" w:hAnsi="Calibri" w:cs="Calibri"/>
                <w:color w:val="000000"/>
              </w:rPr>
              <w:br/>
              <w:t>• формирование у клиента привычки использования сервисов компании, частота использования онлайн сервиса компании (в идеале ежедневный контакт),</w:t>
            </w:r>
            <w:r w:rsidRPr="001116A7">
              <w:rPr>
                <w:rFonts w:ascii="Calibri" w:hAnsi="Calibri" w:cs="Calibri"/>
                <w:color w:val="000000"/>
              </w:rPr>
              <w:br/>
              <w:t>• привыкание к интерфейсу экосистемы, нежелание клиента уходить в онлайн канал другой компании.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Например, уже сейчас почти 80% клиентов ЭСК и ЕИРЦ выбирают каналы сторонних компаний (внешних платёжных агентов) для оплаты счетов за электроэнергию, при этом 42% всех оплат за электроэнергию идёт через ПАО «Сбербанк». Стратегическая задача – создать свою экосистему с уникальным торговым предложением (далее - УТП), сформировать свою стабильную клиентскую базу. В рамках перехода АО «ПСК» на единую Платформу будут осуществлены работы по развитию систем, относящихся к цифровым каналам взаимодействия с клиентами: личные кабинеты физических и юридических лиц (веб-версии и мобильные приложения), сайт Общества.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Анализ внутренней среды,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внутренние предпосылки проекта.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1. Нет единого стандартизированного решения для ЭСК и ЕИРЦ;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В некоторых ДО в текущих версиях личного кабинета (далее – ЛКК) отсутствует базовый функционал (заказ услуги КС, подписка на эл. счёт, автоплатеж, управление подпиской смс, мессенджеры и т.п.); </w:t>
            </w:r>
            <w:r w:rsidRPr="001116A7">
              <w:rPr>
                <w:rFonts w:ascii="Calibri" w:hAnsi="Calibri" w:cs="Calibri"/>
                <w:color w:val="000000"/>
              </w:rPr>
              <w:br/>
              <w:t>• Только несколько компаний имеют мобильное приложение (далее - МП).</w:t>
            </w:r>
            <w:r w:rsidRPr="001116A7">
              <w:rPr>
                <w:rFonts w:ascii="Calibri" w:hAnsi="Calibri" w:cs="Calibri"/>
                <w:color w:val="000000"/>
              </w:rPr>
              <w:br/>
              <w:t>• Нет единой платформы. В каждом регионе функциональность развивается отдельно со своим собственным набором технологий. При этом, функционал средств взаимодействия с пользователями в различных ДО не объединён между собой, что затрудняет проведение кампаний и исследований по всей клиентской базе одновременно, а также затрудняет получение общей картины клиентской базы по Группе, а дублирование разработок функционала и необходимость интеграции со множеством локальных ИТ-систем и их отдельных экземпляров различных ДО существенно увеличивает стоимость проектов и сроки реализации проектов.</w:t>
            </w:r>
            <w:r w:rsidRPr="001116A7">
              <w:rPr>
                <w:rFonts w:ascii="Calibri" w:hAnsi="Calibri" w:cs="Calibri"/>
                <w:color w:val="000000"/>
              </w:rPr>
              <w:br/>
              <w:t>• Отсутствует механизм централизованного управления цифровыми каналами ДО в части аналитики и проведения централизованных маркетинговых мероприятий, а также оперативного внедрения нового функционала в качестве реакции на внешние вызовы (изменения законодательства, рыночные вызовы).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2. Клиентские сервисы в ЭСК и ЕИРЦ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проектировались с учётом требований множества бизнес-заказчиков, без глубокого анализа пожеланий клиента.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4,17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537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Q_15.29.0390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каналов взаимодействия с клиентами в 2029 году,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существующего нематериального актива в виде ЛКК, сайта и других имеющихся цифровых каналов, охватывающих все точки онлайн-взаимодействия с клиентом Группы, поддерживающей единый подход к взаимодействию с клиентами в части дизайна, сценариев взаимодействия, функционала и клиентского опыта.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Анализ внутренней среды, внутренние предпосылки проекта.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1. Нет единого стандартизированного решения для ЭСК и ЕИРЦ;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В некоторых ДО в текущих версиях личного кабинета (далее – ЛКК) отсутствует базовый функционал (заказ услуги КС, подписка на эл. счёт, автоплатеж, управление подпиской смс, мессенджеры и т.п.); </w:t>
            </w:r>
            <w:r w:rsidRPr="001116A7">
              <w:rPr>
                <w:rFonts w:ascii="Calibri" w:hAnsi="Calibri" w:cs="Calibri"/>
                <w:color w:val="000000"/>
              </w:rPr>
              <w:br/>
              <w:t>• Нет единой платформы. В каждом регионе функциональность развивается отдельно со своим собственным набором технологий. При этом, функционал средств взаимодействия с пользователями в различных ДО не объединён между собой, что затрудняет проведение кампаний и исследований по всей клиентской базе одновременно, а также затрудняет получение общей картины клиентской базы по Группе, а дублирование разработок функционала и необходимость интеграции со множеством локальных ИТ-систем и их отдельных экземпляров различных ДО существенно увеличивает стоимость проектов и сроки реализации проектов.</w:t>
            </w:r>
            <w:r w:rsidRPr="001116A7">
              <w:rPr>
                <w:rFonts w:ascii="Calibri" w:hAnsi="Calibri" w:cs="Calibri"/>
                <w:color w:val="000000"/>
              </w:rPr>
              <w:br/>
              <w:t>• Отсутствует механизм централизованного управления цифровыми каналами ДО в части аналитики и проведения централизованных маркетинговых мероприятий, а также оперативного внедрения нового функционала в качестве реакции на внешние вызовы (изменения законодательства, рыночные вызовы).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После внедрения платформы «Клиент-Онлайн» был осуществлен переход цифровых каналов энергосбытовых компаний и ЕИРЦ на единую Платформу и под единое управление в дочернее общество АО «Мосэнергосбыт» (правообладатель), а также была осуществлена интеграция Платформы с информационными системами компаний Группы.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После внедрения платформы «Клиент-Онлайн» требуется ее развитие для поддержания работоспособности платформы.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Ключевые параметры экосистемы: </w:t>
            </w:r>
            <w:r w:rsidRPr="001116A7">
              <w:rPr>
                <w:rFonts w:ascii="Calibri" w:hAnsi="Calibri" w:cs="Calibri"/>
                <w:color w:val="000000"/>
              </w:rPr>
              <w:br/>
              <w:t>• максимально возможный набор сервисов с удобным интерфейсом и решением всех вопросов в «одном окне»,</w:t>
            </w:r>
            <w:r w:rsidRPr="001116A7">
              <w:rPr>
                <w:rFonts w:ascii="Calibri" w:hAnsi="Calibri" w:cs="Calibri"/>
                <w:color w:val="000000"/>
              </w:rPr>
              <w:br/>
              <w:t>• формирование у клиента привычки использования сервисов компании, частота использования онлайн сервиса компании (в идеале ежедневный контакт),</w:t>
            </w:r>
            <w:r w:rsidRPr="001116A7">
              <w:rPr>
                <w:rFonts w:ascii="Calibri" w:hAnsi="Calibri" w:cs="Calibri"/>
                <w:color w:val="000000"/>
              </w:rPr>
              <w:br/>
              <w:t>• привыкание к интерфейсу экосистемы, нежелание клиента уходить в онлайн канал другой компании.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Например, уже сейчас почти 80% клиентов ЭСК и ЕИРЦ выбирают каналы сторонних компаний (внешних платёжных агентов) для оплаты счетов за электроэнергию, при этом 42% всех оплат за электроэнергию идёт через ПАО «Сбербанк». Стратегическая задача – создать свою экосистему с уникальным торговым предложением (далее - УТП), сформировать свою стабильную клиентскую базу. В рамках перехода АО «ПСК» на единую Платформу будут осуществлены работы по развитию систем, относящихся к цифровым каналам взаимодействия с клиентами: личные кабинеты физических и юридических лиц (веб-версии и мобильные приложения), сайт Общества.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Анализ внутренней среды,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внутренние предпосылки проекта.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1. Нет единого стандартизированного решения для ЭСК и ЕИРЦ;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В некоторых ДО в текущих версиях личного кабинета (далее – ЛКК) отсутствует базовый функционал (заказ услуги КС, подписка на эл. счёт, автоплатеж, управление подпиской смс, мессенджеры и т.п.); </w:t>
            </w:r>
            <w:r w:rsidRPr="001116A7">
              <w:rPr>
                <w:rFonts w:ascii="Calibri" w:hAnsi="Calibri" w:cs="Calibri"/>
                <w:color w:val="000000"/>
              </w:rPr>
              <w:br/>
              <w:t>• Только несколько компаний имеют мобильное приложение (далее - МП).</w:t>
            </w:r>
            <w:r w:rsidRPr="001116A7">
              <w:rPr>
                <w:rFonts w:ascii="Calibri" w:hAnsi="Calibri" w:cs="Calibri"/>
                <w:color w:val="000000"/>
              </w:rPr>
              <w:br/>
              <w:t>• Нет единой платформы. В каждом регионе функциональность развивается отдельно со своим собственным набором технологий. При этом, функционал средств взаимодействия с пользователями в различных ДО не объединён между собой, что затрудняет проведение кампаний и исследований по всей клиентской базе одновременно, а также затрудняет получение общей картины клиентской базы по Группе, а дублирование разработок функционала и необходимость интеграции со множеством локальных ИТ-систем и их отдельных экземпляров различных ДО существенно увеличивает стоимость проектов и сроки реализации проектов.</w:t>
            </w:r>
            <w:r w:rsidRPr="001116A7">
              <w:rPr>
                <w:rFonts w:ascii="Calibri" w:hAnsi="Calibri" w:cs="Calibri"/>
                <w:color w:val="000000"/>
              </w:rPr>
              <w:br/>
              <w:t>• Отсутствует механизм централизованного управления цифровыми каналами ДО в части аналитики и проведения централизованных маркетинговых мероприятий, а также оперативного внедрения нового функционала в качестве реакции на внешние вызовы (изменения законодательства, рыночные вызовы).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2. Клиентские сервисы в ЭСК и ЕИРЦ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проектировались с учётом требований множества бизнес-заказчиков, без глубокого анализа пожеланий клиента.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4,33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2029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313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O_15.01.0401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лицензий системы финансово-экономического управления на 2026-2028 года,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АО «Петербургская сбытовая компания» права использования системы ФЭУ.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 начала 2020 года в АО «Петербургская сбытовая компания» реализуется ввод в эксплуатацию типовой тиражной системы финансово-экономического управления в сегментах «Сбыт» и «Прочие» на базе 1С (далее - ФЭУ). Проект является централизованным проектом ПАО «Интер РАО». АО «Петербургская сбытовая компания» выступило компанией-пилотом сегмента «Сбыт». Система ФЭУ позволяет централизованно управлять корпоративной методологией бухгалтерского, налогового учета и учета по МСФО, бюджетного управления, а также повысить качество учетных данных и оптимальности их подготовки при передаче смежным предметным областям (бизнес-планирование, управление имуществом и инвестициями, трансфертное ценообразование, консолидированная отчетность и т.п.).  Основой данного проекта является централизованная автоматизация процессов ведения бухгалтерского и налогового учета, подготовки отчетности и процессов передачи данных в консолидационные пакеты и бизнес-планы компаний Группы позволит минимизировать риски нарушения качества бухгалтерской и налоговой отчетности и информации бизнес-планов компаний Группы.</w:t>
            </w:r>
            <w:r w:rsidRPr="001116A7">
              <w:rPr>
                <w:rFonts w:ascii="Calibri" w:hAnsi="Calibri" w:cs="Calibri"/>
                <w:color w:val="000000"/>
              </w:rPr>
              <w:br/>
              <w:t>Принятые в Группе корпоративные решения предусматривают продажу компаниям Группы лицензий ФЭУ с 2023 года на трехлетний срок, в 2026 году и 2029 году потребуется продление лицензий.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Лицензии сроком на 3 года (с 01.07.2026 по 30.06.2029) - 255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Лицензия для ОЦО (общий центр отчётности) (универсальная лицензия) - 20 шт.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18,55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38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O_15.01.0436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и внедрение импортозамещённой системы IP-телефонии, объект ОС,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Выведение из эксплуатации УАТС CUCM, внедрение современной отечественной системы ip-телефонии, обладающей широкими возможностями настройки и масштабируемости, отвечающей современным и перспективным запросам бизнеса.</w:t>
            </w:r>
            <w:r w:rsidRPr="001116A7">
              <w:rPr>
                <w:rFonts w:ascii="Calibri" w:hAnsi="Calibri" w:cs="Calibri"/>
                <w:color w:val="000000"/>
              </w:rPr>
              <w:br/>
              <w:t>Уменьшение затрат на телефонную связь, путём отказа от части абонентских линий и номеров городской телефонной сети, используемых, на текущий момент, на площадках ОСЭ и ЦПП.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Используемая в настоящее время УАТС Общества не поддерживается производителем на территории России, не является отечественным ПО, не отвечает потребностям бизнеса и корпоративным стандартам. Необходима замена УАТС CUCM на отечественное решение.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Технические решения и стандарты исполнения планируемых к установке портов должны соответствовать потребностям Общества в полном объёме и обеспечивать возможность масштабирования в перспективе. А именно: кабельная система локальной сети должна соответствовать стандарту ANSI/TIA/EIA-568-B; при построении кабельной системы применяется четырёхпарный кабель витая пара категории 5e. Устанавливаемые патч-панели и оконечные порты доступа также должны соответствовать данной категории.</w:t>
            </w:r>
            <w:r w:rsidRPr="001116A7">
              <w:rPr>
                <w:rFonts w:ascii="Calibri" w:hAnsi="Calibri" w:cs="Calibri"/>
                <w:color w:val="000000"/>
              </w:rPr>
              <w:br/>
              <w:t>В состав работ включается: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>ü закупка необходимых материалов и их доставка на место выполнения работ;</w:t>
            </w:r>
            <w:r w:rsidRPr="001116A7">
              <w:rPr>
                <w:rFonts w:ascii="Calibri" w:hAnsi="Calibri" w:cs="Calibri"/>
                <w:color w:val="000000"/>
              </w:rPr>
              <w:br/>
              <w:t>ü выполнение работ по монтажу портов СКС;</w:t>
            </w:r>
            <w:r w:rsidRPr="001116A7">
              <w:rPr>
                <w:rFonts w:ascii="Calibri" w:hAnsi="Calibri" w:cs="Calibri"/>
                <w:color w:val="000000"/>
              </w:rPr>
              <w:br/>
              <w:t>ü маркировка установленных портов;</w:t>
            </w:r>
            <w:r w:rsidRPr="001116A7">
              <w:rPr>
                <w:rFonts w:ascii="Calibri" w:hAnsi="Calibri" w:cs="Calibri"/>
                <w:color w:val="000000"/>
              </w:rPr>
              <w:br/>
              <w:t>ü тестирование смонтированных сегментов на соответствие требуемым стандартам;</w:t>
            </w:r>
            <w:r w:rsidRPr="001116A7">
              <w:rPr>
                <w:rFonts w:ascii="Calibri" w:hAnsi="Calibri" w:cs="Calibri"/>
                <w:color w:val="000000"/>
              </w:rPr>
              <w:br/>
              <w:t>закрепление результатов в документации на СКС.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2,81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385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O_15.25.0457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Внедрение биллинговой системы расчетов с юридическими лицами на базе российской СУБД,  объект НМА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Отказ от программных продуктов, серверного оборудования и лицензий зарубежных правообладателей (Oracle) и переход на использование исключительно российского ПО (или свободно распространяемого программного обеспечения для компонентов, не имеющих российских аналогов) и серверного оборудования при расчетах за электроэнергию с потребителями – юридическими лицами.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 настоящее время для автоматизации управления энергосбытовой деятельностью, централизованного проведения расчетов и формирования начислений потребителям – юридическим лицам за электроэнергию, а также ведения всей необходимой для обеспечения процесса технологической информации, функционирует Единая биллинговая система для расчетов с юридическими лицами импортозамещенная конфигурация (ЕБЮЛ ИК).</w:t>
            </w:r>
            <w:r w:rsidRPr="001116A7">
              <w:rPr>
                <w:rFonts w:ascii="Calibri" w:hAnsi="Calibri" w:cs="Calibri"/>
                <w:color w:val="000000"/>
              </w:rPr>
              <w:br/>
              <w:t>Первоначально в 2016 году система ЕБЮЛ была разработана с использованием готовых платформенных компонентов вендора Oracle (США), решение размещалось на аппаратной Exadata/Exalogic того же вендора.</w:t>
            </w:r>
            <w:r w:rsidRPr="001116A7">
              <w:rPr>
                <w:rFonts w:ascii="Calibri" w:hAnsi="Calibri" w:cs="Calibri"/>
                <w:color w:val="000000"/>
              </w:rPr>
              <w:br/>
              <w:t>В 2020 году программная часть системы ЕБЮЛ была полностью переработана и получила импортозамещенную версию ЕБЮЛ ИК. При этом СУБД Oracle не менялась.</w:t>
            </w:r>
            <w:r w:rsidRPr="001116A7">
              <w:rPr>
                <w:rFonts w:ascii="Calibri" w:hAnsi="Calibri" w:cs="Calibri"/>
                <w:color w:val="000000"/>
              </w:rPr>
              <w:br/>
              <w:t>В настоящее время использование в системе ЕБЮЛ ИК иностранной СУБД и аппаратной платформы не соответствует государственной политике по импортозамещению и несет риски и угрозы, связанные с геополитикой и уязвимостью бизнеса, в том числе, в области кибербезопасности.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Проект призван решить задачу выполнения требований государственных органов РФ по импортозамещению путем перехода на полностью российское или свободное программное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обеспечение (ПО) и серверное оборудование из реестра Минпромторга РФ при расчетах за электроэнергию с юридическими лицами.</w:t>
            </w:r>
            <w:r w:rsidRPr="001116A7">
              <w:rPr>
                <w:rFonts w:ascii="Calibri" w:hAnsi="Calibri" w:cs="Calibri"/>
                <w:color w:val="000000"/>
              </w:rPr>
              <w:br/>
              <w:t>В решении ЕБЮЛ ИК необходимо заместить СУБД Oracle на сопоставимый  по производительности и функционалу программный продукт из единого реестра российских программ для электронных вычислительных машин и баз данных (далее – Реестр), удовлетворяющий требованиям государственных органов Российской Федерации о допустимости использования только российского ПО на предприятиях с государственным участием. Кроме того, российская СУБД в составе системы должна обладать необходимыми техническими возможностями и обеспечиваться поддержкой и сопровождением на протяжении всего жизненного цикла системы.</w:t>
            </w:r>
            <w:r w:rsidRPr="001116A7">
              <w:rPr>
                <w:rFonts w:ascii="Calibri" w:hAnsi="Calibri" w:cs="Calibri"/>
                <w:color w:val="000000"/>
              </w:rPr>
              <w:br/>
              <w:t>Одновременно с замещением СУБД системы ЕБЮЛ ИК, необходимо будет заместить серверное оборудование Oracle на аналогичное по производительности импортозамещенное серверное оборудование из реестра Минпромторга РФ аттестованное по требованиям ФСТЭК.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119,01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лицензий системы финансово-экономического управления в 2029-2032 гг.,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АО «Петербургская сбытовая компания» права использования системы ФЭУ.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 начала 2020 года в АО «Петербургская сбытовая компания» реализуется ввод в эксплуатацию типовой тиражной системы финансово-экономического управления в сегментах «Сбыт» и «Прочие» на базе 1С (далее - ФЭУ). Проект является централизованным проектом ПАО «Интер РАО». АО «Петербургская сбытовая компания» выступило компанией-пилотом сегмента «Сбыт». Система ФЭУ позволяет централизованно управлять корпоративной методологией бухгалтерского, налогового учета и учета по МСФО, бюджетного управления, а также повысить качество учетных данных и оптимальности их подготовки при передаче смежным предметным областям (бизнес-планирование, управление имуществом и инвестициями, трансфертное ценообразование, консолидированная отчетность и т.п.).  Основой данного проекта является централизованная автоматизация процессов ведения бухгалтерского и налогового учета, подготовки отчетности и процессов передачи данных в консолидационные пакеты и бизнес-планы компаний Группы позволит минимизировать риски нарушения качества бухгалтерской и налоговой отчетности и информации бизнес-планов компаний Группы.</w:t>
            </w:r>
            <w:r w:rsidRPr="001116A7">
              <w:rPr>
                <w:rFonts w:ascii="Calibri" w:hAnsi="Calibri" w:cs="Calibri"/>
                <w:color w:val="000000"/>
              </w:rPr>
              <w:br/>
              <w:t>Принятые в Группе корпоративные решения предусматривают продажу компаниям Группы лицензий ФЭУ с 2023 года на трехлетний срок, в 2026 году и 2029 году потребуется продление лицензий.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Лицензии сроком на 4 года (с 01.07.2029 по 30.06.2032) - 255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Лицензия для ОЦО (общий центр отчётности) (универсальная лицензия) - 20 шт.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24,22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2032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282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P_15.01.10043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лицензий на антивирусное программное обеспечение "Kaspersky" в 2028 г.,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Обеспечение надёжной защиты от вирусных угроз на компьютерах и серверах Общества на последующие 3 года.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 настоящее время в АО «Петербургская сбытовая компания» приобретена трехлетняя лицензия на антивирусное программное обеспечение «Kaspersky Endpoint Security для бизнеса»на 1700 хостов, срок использования истекает в январе 2028 г. и необходимо продление. ПО требуется для обеспечения безопасности корпоративной ИТ-инфраструктуры, защиты серверных и пользовательских информационных систем центрального офиса и ОСЭ. На сегодняшний день фактическое количество хостов по данным сервера лицензирования составляет 1574, из них 1350 - рабочие станции, общее число приобретаемых лицензий определено с учетом резерва, учитывая срок действия лицензий.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Антивирусное программное обеспечение, разработанное Лабораторией Касперского, рекомендовано к использованию в рамках Группы «Интер РАО». </w:t>
            </w:r>
            <w:r w:rsidRPr="001116A7">
              <w:rPr>
                <w:rFonts w:ascii="Calibri" w:hAnsi="Calibri" w:cs="Calibri"/>
                <w:color w:val="000000"/>
              </w:rPr>
              <w:br/>
              <w:t>Продукт «Kaspersky Endpoint Security для бизнеса – Расширенный» позволит осуществить антивирусную защиту и мониторинг на уровне рабочих мест, информационных систем и серверов.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Состав закупаемых в 2028 году прав использования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программ для ЭВМ :KL4867RAYTR Kaspersky Endpoint Security для бизнеса – Расширенный Russian Edition. 5000+ Node 3 year Renewal License - Лицензия 1700шт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2,12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273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P_15.01.10053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лицензии на программное обеспечение Casebook в 2028 г.,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Актуализация и улучшения качества данных о Контрагентах и Потребителях в Биллинговых системах, посредством автоматического наполнения базы данных Единая биллинговой системы расчетов с юридическими лицами (ЕБСРЮЛ) информацией из официальных внешних источников с использованием автоматизированного сервиса API.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Для усиления работы с дебиторской задолженностью со стороны АО «Петербургская сбытовая компания» проводился анализ возможных способов актуализации и улучшения качества данных о Контрагентах и Потребителях в Биллинговых системах, а также изучался вопрос автоматического наполнения базы данных Единая биллинговой системы расчетов с юридическими лицами (ЕБСРЮЛ) информацией из официальных внешних источников, в том числе, посредством технологии API.</w:t>
            </w:r>
            <w:r w:rsidRPr="001116A7">
              <w:rPr>
                <w:rFonts w:ascii="Calibri" w:hAnsi="Calibri" w:cs="Calibri"/>
                <w:color w:val="000000"/>
              </w:rPr>
              <w:br/>
              <w:t>Получение данных от внешних источников необходимо в первую очередь для ведения договорной работы и работы с дебиторской задолженностью, в том числе, досудебной работы, претензионно-исковой работы (включая взыскания в судебном порядке и исполнительное производство) и сопровождения процедур банкротства контрагентов, а также иной работы по защите правовых и экономических интересов Компании.</w:t>
            </w:r>
            <w:r w:rsidRPr="001116A7">
              <w:rPr>
                <w:rFonts w:ascii="Calibri" w:hAnsi="Calibri" w:cs="Calibri"/>
                <w:color w:val="000000"/>
              </w:rPr>
              <w:br/>
              <w:t>Потребности бизнес-процессов, автоматизированных (или планируемых к автоматизации в ближайшее время) в рамках корпоративной системы ЕБСРЮЛ, предполагают получение следующих данных из внешних источников:</w:t>
            </w:r>
            <w:r w:rsidRPr="001116A7">
              <w:rPr>
                <w:rFonts w:ascii="Calibri" w:hAnsi="Calibri" w:cs="Calibri"/>
                <w:color w:val="000000"/>
              </w:rPr>
              <w:br/>
              <w:t>− сведения о контрагенте (ЕГРЮЛ, ЕГРИП, в том числе, наименование, адрес, реквизиты);</w:t>
            </w:r>
            <w:r w:rsidRPr="001116A7">
              <w:rPr>
                <w:rFonts w:ascii="Calibri" w:hAnsi="Calibri" w:cs="Calibri"/>
                <w:color w:val="000000"/>
              </w:rPr>
              <w:br/>
              <w:t>− анализ рисков по контрагенту (аффилированность, платежеспособность, экономические показатели и бухгалтерский учет, участие в закупках, статистика участия в судебных процессах);</w:t>
            </w:r>
            <w:r w:rsidRPr="001116A7">
              <w:rPr>
                <w:rFonts w:ascii="Calibri" w:hAnsi="Calibri" w:cs="Calibri"/>
                <w:color w:val="000000"/>
              </w:rPr>
              <w:br/>
              <w:t>− банкротства (ЕФРСБ, картотека арбитражных дел);</w:t>
            </w:r>
            <w:r w:rsidRPr="001116A7">
              <w:rPr>
                <w:rFonts w:ascii="Calibri" w:hAnsi="Calibri" w:cs="Calibri"/>
                <w:color w:val="000000"/>
              </w:rPr>
              <w:br/>
              <w:t>− судебная работа по делам Компании (сведения по конкретным делам и судебным актам, в том числе даты судебных заседаний, резолюции суда);</w:t>
            </w:r>
            <w:r w:rsidRPr="001116A7">
              <w:rPr>
                <w:rFonts w:ascii="Calibri" w:hAnsi="Calibri" w:cs="Calibri"/>
                <w:color w:val="000000"/>
              </w:rPr>
              <w:br/>
              <w:t>− исполнительное производства (БДИП ФССП, картотека арбитражных дел);</w:t>
            </w:r>
            <w:r w:rsidRPr="001116A7">
              <w:rPr>
                <w:rFonts w:ascii="Calibri" w:hAnsi="Calibri" w:cs="Calibri"/>
                <w:color w:val="000000"/>
              </w:rPr>
              <w:br/>
              <w:t>− нематериальные активы контрагентов (лицензии, доменные имена и т.д.)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br/>
              <w:t>По результатам проведенного анализа наиболее полным набором сведений для автоматизированного наполнения ЕБСРЮЛ обладают сервисы НАО «Право.ру». Данная компания обладает исключительным правом на систематизацию и хранение данных о судебной работе, являясь единственным поставщиком программного обеспечения для арбитражных судов, а также осуществляет накопление сведений из других официальных источников данных о субъектах права таких как ЕГРЮЛ, ЕГРИП, ЕФРСБ, БДИП ФССП. Иные информационные сервисы по итогам анализа не готовы на настоящий момент предоставить аналогичный набор сведений на наполнения ЕБСРЮЛ.</w:t>
            </w:r>
            <w:r w:rsidRPr="001116A7">
              <w:rPr>
                <w:rFonts w:ascii="Calibri" w:hAnsi="Calibri" w:cs="Calibri"/>
                <w:color w:val="000000"/>
              </w:rPr>
              <w:br/>
              <w:t>С помощью API-Casebook от НАО «Право.ру» при работе с юридическими лицами можно осуществлять: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− мониторинг арбитражной практики (в динамике по количеству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дел, суммам, текущим/завершенным);</w:t>
            </w:r>
            <w:r w:rsidRPr="001116A7">
              <w:rPr>
                <w:rFonts w:ascii="Calibri" w:hAnsi="Calibri" w:cs="Calibri"/>
                <w:color w:val="000000"/>
              </w:rPr>
              <w:br/>
              <w:t>− оценку исковой нагрузки по контрагенту;</w:t>
            </w:r>
            <w:r w:rsidRPr="001116A7">
              <w:rPr>
                <w:rFonts w:ascii="Calibri" w:hAnsi="Calibri" w:cs="Calibri"/>
                <w:color w:val="000000"/>
              </w:rPr>
              <w:br/>
              <w:t>− прогноз вероятности исхода дела;</w:t>
            </w:r>
            <w:r w:rsidRPr="001116A7">
              <w:rPr>
                <w:rFonts w:ascii="Calibri" w:hAnsi="Calibri" w:cs="Calibri"/>
                <w:color w:val="000000"/>
              </w:rPr>
              <w:br/>
              <w:t>− фильтрацию по категории спора (неиспользование кредитных обязательств, задолженность по аренде и пр.);</w:t>
            </w:r>
            <w:r w:rsidRPr="001116A7">
              <w:rPr>
                <w:rFonts w:ascii="Calibri" w:hAnsi="Calibri" w:cs="Calibri"/>
                <w:color w:val="000000"/>
              </w:rPr>
              <w:br/>
              <w:t>− проверки исполнительных производств (текущие/завершенные с привязкой к делу);</w:t>
            </w:r>
            <w:r w:rsidRPr="001116A7">
              <w:rPr>
                <w:rFonts w:ascii="Calibri" w:hAnsi="Calibri" w:cs="Calibri"/>
                <w:color w:val="000000"/>
              </w:rPr>
              <w:br/>
              <w:t>− отслеживание банкротства с момента подачи искового заявления;</w:t>
            </w:r>
            <w:r w:rsidRPr="001116A7">
              <w:rPr>
                <w:rFonts w:ascii="Calibri" w:hAnsi="Calibri" w:cs="Calibri"/>
                <w:color w:val="000000"/>
              </w:rPr>
              <w:br/>
              <w:t>− выявление неявной аффилированности по судам;</w:t>
            </w:r>
            <w:r w:rsidRPr="001116A7">
              <w:rPr>
                <w:rFonts w:ascii="Calibri" w:hAnsi="Calibri" w:cs="Calibri"/>
                <w:color w:val="000000"/>
              </w:rPr>
              <w:br/>
              <w:t>− выявление факторов риска и т.д.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Программа для ЭВМ Casebook API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4,37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Q_15.26.10068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«Инновационный биллинг «Пальмира» в 2026 г.,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развития Системы является: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>• уточнение и детализация реализованных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>• автоматизация новых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доработка для обеспечения интеграционных взаимодействий со смежными системами; </w:t>
            </w:r>
            <w:r w:rsidRPr="001116A7">
              <w:rPr>
                <w:rFonts w:ascii="Calibri" w:hAnsi="Calibri" w:cs="Calibri"/>
                <w:color w:val="000000"/>
              </w:rPr>
              <w:br/>
              <w:t>• соблюдение требований федерального и регионального законодательства.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Система предназначена для информационной поддержки бизнес-процессов, связанных с реализацией электроэнергии бытовым потребителям. Система обеспечивает автоматизацию процессов учета потребления услуг бытовыми потребителями, выставления счетов, приема и контроля своевременности оплаты за предоставленные услуги сбытовой компании. За период внедрения Системы и перевода всех абонентов на промышленные расчеты, был определен перечень доработок, как в части обеспечения требований законодательства, так и в части расширения функциональных возможностей Системы. Помимо этого, в период внедрения Системы, в АО «Петербургская сбытовая компания» были введены в промышленную эксплуатацию и модернизированы ряд смежных систем, для обеспечения интеграционного взаимодействия которых необходимы доработки биллинга. Также необходимо учитывать изменения федерального и регионального законодательства (например, в 2025 году в Ленинградской области был введен льготный тариф для второго диапазона по распоряжению Губернатора ЛО).В случае отказа от реализации проекта Общество не сможет обеспечить необходимую автоматизацию бизнес-процессов компании, улучшить показатели работы должниками и развиваться в направлении повышения качества обслуживания потребителей.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9,52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Q_15.27.10068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«Инновационный биллинг «Пальмира» в 2027 г.,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развития Системы является: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>• уточнение и детализация реализованных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>• автоматизация новых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доработка для обеспечения интеграционных взаимодействий со смежными системами; </w:t>
            </w:r>
            <w:r w:rsidRPr="001116A7">
              <w:rPr>
                <w:rFonts w:ascii="Calibri" w:hAnsi="Calibri" w:cs="Calibri"/>
                <w:color w:val="000000"/>
              </w:rPr>
              <w:br/>
              <w:t>• соблюдение требований федерального и регионального законодательства.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Система предназначена для информационной поддержки бизнес-процессов, связанных с реализацией электроэнергии бытовым потребителям. Система обеспечивает автоматизацию процессов учета потребления услуг бытовыми потребителями, выставления счетов, приема и контроля своевременности оплаты за предоставленные услуги сбытовой компании. За период внедрения Системы и перевода всех абонентов на промышленные расчеты, был определен перечень доработок, как в части обеспечения требований законодательства, так и в части расширения функциональных возможностей Системы. Помимо этого, в период внедрения Системы, в АО «Петербургская сбытовая компания» были введены в промышленную эксплуатацию и модернизированы ряд смежных систем, для обеспечения интеграционного взаимодействия которых необходимы доработки биллинга. Также необходимо учитывать изменения федерального и регионального законодательства (например, в 2025 году в Ленинградской области был введен льготный тариф для второго диапазона по распоряжению Губернатора ЛО).В случае отказа от реализации проекта Общество не сможет обеспечить необходимую автоматизацию бизнес-процессов компании, улучшить показатели работы должниками и развиваться в направлении повышения качества обслуживания потребителей.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7,39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Q_15.28.10068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«Инновационный биллинг «Пальмира» в 2028 г.,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развития Системы является: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>• уточнение и детализация реализованных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>• автоматизация новых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доработка для обеспечения интеграционных взаимодействий со смежными системами; </w:t>
            </w:r>
            <w:r w:rsidRPr="001116A7">
              <w:rPr>
                <w:rFonts w:ascii="Calibri" w:hAnsi="Calibri" w:cs="Calibri"/>
                <w:color w:val="000000"/>
              </w:rPr>
              <w:br/>
              <w:t>• соблюдение требований федерального и регионального законодательства.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Система предназначена для информационной поддержки бизнес-процессов, связанных с реализацией электроэнергии бытовым потребителям. Система обеспечивает автоматизацию процессов учета потребления услуг бытовыми потребителями, выставления счетов, приема и контроля своевременности оплаты за предоставленные услуги сбытовой компании. За период внедрения Системы и перевода всех абонентов на промышленные расчеты, был определен перечень доработок, как в части обеспечения требований законодательства, так и в части расширения функциональных возможностей Системы. Помимо этого, в период внедрения Системы, в АО «Петербургская сбытовая компания» были введены в промышленную эксплуатацию и модернизированы ряд смежных систем, для обеспечения интеграционного взаимодействия которых необходимы доработки биллинга. Также необходимо учитывать изменения федерального и регионального законодательства (например, в 2025 году в Ленинградской области был введен льготный тариф для второго диапазона по распоряжению Губернатора ЛО).В случае отказа от реализации проекта Общество не сможет обеспечить необходимую автоматизацию бизнес-процессов компании, улучшить показатели работы должниками и развиваться в направлении повышения качества обслуживания потребителей.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7,71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27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Q_15.29.10068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«Инновационный биллинг «Пальмира» в 2029 г.,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развития Системы является: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>• уточнение и детализация реализованных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>• автоматизация новых бизнес-процессов;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доработка для обеспечения интеграционных взаимодействий со смежными системами; </w:t>
            </w:r>
            <w:r w:rsidRPr="001116A7">
              <w:rPr>
                <w:rFonts w:ascii="Calibri" w:hAnsi="Calibri" w:cs="Calibri"/>
                <w:color w:val="000000"/>
              </w:rPr>
              <w:br/>
              <w:t>• соблюдение требований федерального и регионального законодательства.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Система предназначена для информационной поддержки бизнес-процессов, связанных с реализацией электроэнергии бытовым потребителям. Система обеспечивает автоматизацию процессов учета потребления услуг бытовыми потребителями, выставления счетов, приема и контроля своевременности оплаты за предоставленные услуги сбытовой компании. За период внедрения Системы и перевода всех абонентов на промышленные расчеты, был определен перечень доработок, как в части обеспечения требований законодательства, так и в части расширения функциональных возможностей Системы. Помимо этого, в период внедрения Системы, в АО «Петербургская сбытовая компания» были введены в промышленную эксплуатацию и модернизированы ряд смежных систем, для обеспечения интеграционного взаимодействия которых необходимы доработки биллинга. Также необходимо учитывать изменения федерального и регионального законодательства (например, в 2025 году в Ленинградской области был введен льготный тариф для второго диапазона по распоряжению Губернатора ЛО).В случае отказа от реализации проекта Общество не сможет обеспечить необходимую автоматизацию бизнес-процессов компании, улучшить показатели работы должниками и развиваться в направлении повышения качества обслуживания потребителей.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8,00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2029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Q_15.26.10071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«Мобильный контролер» в 2026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осуществляется в целях:</w:t>
            </w:r>
            <w:r w:rsidRPr="001116A7">
              <w:rPr>
                <w:rFonts w:ascii="Calibri" w:hAnsi="Calibri" w:cs="Calibri"/>
                <w:color w:val="000000"/>
              </w:rPr>
              <w:br/>
              <w:t>• автоматизации процесса линейной работы и повышения производительности труда посредством автоматизации дополнительных видов работ, услуг;</w:t>
            </w:r>
            <w:r w:rsidRPr="001116A7">
              <w:rPr>
                <w:rFonts w:ascii="Calibri" w:hAnsi="Calibri" w:cs="Calibri"/>
                <w:color w:val="000000"/>
              </w:rPr>
              <w:br/>
              <w:t>• расширения функционала по работе с физическими лицами;</w:t>
            </w:r>
            <w:r w:rsidRPr="001116A7">
              <w:rPr>
                <w:rFonts w:ascii="Calibri" w:hAnsi="Calibri" w:cs="Calibri"/>
                <w:color w:val="000000"/>
              </w:rPr>
              <w:br/>
              <w:t>• учета требований информационной безопасности;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• включение в автоматизированные процессы подрядных организаций;</w:t>
            </w:r>
            <w:r w:rsidRPr="001116A7">
              <w:rPr>
                <w:rFonts w:ascii="Calibri" w:hAnsi="Calibri" w:cs="Calibri"/>
                <w:color w:val="000000"/>
              </w:rPr>
              <w:br/>
              <w:t>• учета требований к документированию информационных систем.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 xml:space="preserve">В 2023 году в АО «Петербургская сбытовая компания» внедрена информационная система «Мобильный контролер» для оптимизации работы персонала в части управления заданиями на посещение потребителей (физических лиц), автоматизации процессов организации работ линейных сотрудников компании, сокращения сроков поступления данных о результатах проведенных работ, совершенствования системы контроля выполнения заданий. Параллельно с внедрением проекта ИБ.Пальмира выполнялось наращивание объемов лицевых счетов и приборов учета, по которым осуществляются обходы в системе и формирования требований к модернизации существующих и разработкам новых бизнес-процессов, требования к которым ранее не предъявлялись.  Результатом развития Системы является своевременная адаптация системы в соответствии с изменениями, обусловленными как новыми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потребностями функциональных заказчиков, так и изменениями в законодательстве, а также расширение функциональных возможностей системы.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В случае отказа от развития Системы АО «Петербургская сбытовая компания» не сможет корректно и качественно осуществлять деятельность линейных служб в отношении физических лиц, что приведет к ухудшению качества оказываемых услуг Обществом, а отсутствие реализации таких бизнес-процессов, как самовольное подключение, приведет к снижению получаемой прибыли компании.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9,55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Q_15.27.10071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«Мобильный контролер» в 2027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осуществляется в целях:</w:t>
            </w:r>
            <w:r w:rsidRPr="001116A7">
              <w:rPr>
                <w:rFonts w:ascii="Calibri" w:hAnsi="Calibri" w:cs="Calibri"/>
                <w:color w:val="000000"/>
              </w:rPr>
              <w:br/>
              <w:t>• автоматизации процесса линейной работы и повышения производительности труда посредством автоматизации дополнительных видов работ, услуг;</w:t>
            </w:r>
            <w:r w:rsidRPr="001116A7">
              <w:rPr>
                <w:rFonts w:ascii="Calibri" w:hAnsi="Calibri" w:cs="Calibri"/>
                <w:color w:val="000000"/>
              </w:rPr>
              <w:br/>
              <w:t>• расширения функционала по работе с физическими лицами;</w:t>
            </w:r>
            <w:r w:rsidRPr="001116A7">
              <w:rPr>
                <w:rFonts w:ascii="Calibri" w:hAnsi="Calibri" w:cs="Calibri"/>
                <w:color w:val="000000"/>
              </w:rPr>
              <w:br/>
              <w:t>• учета требований информационной безопасности;</w:t>
            </w:r>
            <w:r w:rsidRPr="001116A7">
              <w:rPr>
                <w:rFonts w:ascii="Calibri" w:hAnsi="Calibri" w:cs="Calibri"/>
                <w:color w:val="000000"/>
              </w:rPr>
              <w:br/>
              <w:t>• включение в автоматизированные процессы подрядных организаций;</w:t>
            </w:r>
            <w:r w:rsidRPr="001116A7">
              <w:rPr>
                <w:rFonts w:ascii="Calibri" w:hAnsi="Calibri" w:cs="Calibri"/>
                <w:color w:val="000000"/>
              </w:rPr>
              <w:br/>
              <w:t>• учета требований к документированию информационных систем.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 2023 году в АО «Петербургская сбытовая компания» внедрена информационная система «Мобильный контролер» для оптимизации работы персонала в части управления заданиями на посещение потребителей (физических лиц), автоматизации процессов организации работ линейных сотрудников компании, сокращения сроков поступления данных о результатах проведенных работ, совершенствования системы контроля выполнения заданий. Параллельно с внедрением проекта ИБ.Пальмира выполнялось наращивание объемов лицевых счетов и приборов учета, по которым осуществляются обходы в системе и формирования требований к модернизации существующих и разработкам новых бизнес-процессов, требования к которым ранее не предъявлялись.  Результатом развития Системы является своевременная адаптация системы в соответствии с изменениями, обусловленными как новыми потребностями функциональных заказчиков, так и изменениями в законодательстве, а также расширение функциональных возможностей системы.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В случае отказа от развития Системы АО «Петербургская сбытовая компания» не сможет корректно и качественно осуществлять деятельность линейных служб в отношении физических лиц, что приведет к ухудшению качества оказываемых услуг Обществом, а отсутствие реализации таких бизнес-процессов, как самовольное подключение, приведет к снижению получаемой прибыли компании.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6,07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Q_15.28.10071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«Мобильный контролер» в 2028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осуществляется в целях:</w:t>
            </w:r>
            <w:r w:rsidRPr="001116A7">
              <w:rPr>
                <w:rFonts w:ascii="Calibri" w:hAnsi="Calibri" w:cs="Calibri"/>
                <w:color w:val="000000"/>
              </w:rPr>
              <w:br/>
              <w:t>• автоматизации процесса линейной работы и повышения производительности труда посредством автоматизации дополнительных видов работ, услуг;</w:t>
            </w:r>
            <w:r w:rsidRPr="001116A7">
              <w:rPr>
                <w:rFonts w:ascii="Calibri" w:hAnsi="Calibri" w:cs="Calibri"/>
                <w:color w:val="000000"/>
              </w:rPr>
              <w:br/>
              <w:t>• расширения функционала по работе с физическими лицами;</w:t>
            </w:r>
            <w:r w:rsidRPr="001116A7">
              <w:rPr>
                <w:rFonts w:ascii="Calibri" w:hAnsi="Calibri" w:cs="Calibri"/>
                <w:color w:val="000000"/>
              </w:rPr>
              <w:br/>
              <w:t>• учета требований информационной безопасности;</w:t>
            </w:r>
            <w:r w:rsidRPr="001116A7">
              <w:rPr>
                <w:rFonts w:ascii="Calibri" w:hAnsi="Calibri" w:cs="Calibri"/>
                <w:color w:val="000000"/>
              </w:rPr>
              <w:br/>
              <w:t>• включение в автоматизированные процессы подрядных организаций;</w:t>
            </w:r>
            <w:r w:rsidRPr="001116A7">
              <w:rPr>
                <w:rFonts w:ascii="Calibri" w:hAnsi="Calibri" w:cs="Calibri"/>
                <w:color w:val="000000"/>
              </w:rPr>
              <w:br/>
              <w:t>• учета требований к документированию информационных систем.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 2023 году в АО «Петербургская сбытовая компания» внедрена информационная система «Мобильный контролер» для оптимизации работы персонала в части управления заданиями на посещение потребителей (физических лиц), автоматизации процессов организации работ линейных сотрудников компании, сокращения сроков поступления данных о результатах проведенных работ, совершенствования системы контроля выполнения заданий. Параллельно с внедрением проекта ИБ.Пальмира выполнялось наращивание объемов лицевых счетов и приборов учета, по которым осуществляются обходы в системе и формирования требований к модернизации существующих и разработкам новых бизнес-процессов, требования к которым ранее не предъявлялись.  Результатом развития Системы является своевременная адаптация системы в соответствии с изменениями, обусловленными как новыми потребностями функциональных заказчиков, так и изменениями в законодательстве, а также расширение функциональных возможностей системы.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В случае отказа от развития Системы АО «Петербургская сбытовая компания» не сможет корректно и качественно осуществлять деятельность линейных служб в отношении физических лиц, что приведет к ухудшению качества оказываемых услуг Обществом, а отсутствие реализации таких бизнес-процессов, как самовольное подключение, приведет к снижению получаемой прибыли компании.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6,33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Q_15.29.10071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«Мобильный контролер» в 2029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осуществляется в целях:</w:t>
            </w:r>
            <w:r w:rsidRPr="001116A7">
              <w:rPr>
                <w:rFonts w:ascii="Calibri" w:hAnsi="Calibri" w:cs="Calibri"/>
                <w:color w:val="000000"/>
              </w:rPr>
              <w:br/>
              <w:t>• автоматизации процесса линейной работы и повышения производительности труда посредством автоматизации дополнительных видов работ, услуг;</w:t>
            </w:r>
            <w:r w:rsidRPr="001116A7">
              <w:rPr>
                <w:rFonts w:ascii="Calibri" w:hAnsi="Calibri" w:cs="Calibri"/>
                <w:color w:val="000000"/>
              </w:rPr>
              <w:br/>
              <w:t>• расширения функционала по работе с физическими лицами;</w:t>
            </w:r>
            <w:r w:rsidRPr="001116A7">
              <w:rPr>
                <w:rFonts w:ascii="Calibri" w:hAnsi="Calibri" w:cs="Calibri"/>
                <w:color w:val="000000"/>
              </w:rPr>
              <w:br/>
              <w:t>• учета требований информационной безопасности;</w:t>
            </w:r>
            <w:r w:rsidRPr="001116A7">
              <w:rPr>
                <w:rFonts w:ascii="Calibri" w:hAnsi="Calibri" w:cs="Calibri"/>
                <w:color w:val="000000"/>
              </w:rPr>
              <w:br/>
              <w:t>• включение в автоматизированные процессы подрядных организаций;</w:t>
            </w:r>
            <w:r w:rsidRPr="001116A7">
              <w:rPr>
                <w:rFonts w:ascii="Calibri" w:hAnsi="Calibri" w:cs="Calibri"/>
                <w:color w:val="000000"/>
              </w:rPr>
              <w:br/>
              <w:t>• учета требований к документированию информационных систем.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 2023 году в АО «Петербургская сбытовая компания» внедрена информационная система «Мобильный контролер» для оптимизации работы персонала в части управления заданиями на посещение потребителей (физических лиц), автоматизации процессов организации работ линейных сотрудников компании, сокращения сроков поступления данных о результатах проведенных работ, совершенствования системы контроля выполнения заданий. Параллельно с внедрением проекта ИБ.Пальмира выполнялось наращивание объемов лицевых счетов и приборов учета, по которым осуществляются обходы в системе и формирования требований к модернизации существующих и разработкам новых бизнес-процессов, требования к которым ранее не предъявлялись.  Результатом развития Системы является своевременная адаптация системы в соответствии с изменениями, обусловленными как новыми потребностями функциональных заказчиков, так и изменениями в законодательстве, а также расширение функциональных возможностей системы.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В случае отказа от развития Системы АО «Петербургская сбытовая компания» не сможет корректно и качественно осуществлять деятельность линейных служб в отношении физических лиц, что приведет к ухудшению качества оказываемых услуг Обществом, а отсутствие реализации таких бизнес-процессов, как самовольное подключение, приведет к снижению получаемой прибыли компании.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6,81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2029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Q_15.26.10073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«Единой Информационно-аналитической системы» в 2026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Работы по модернизации ЕИАС позволят существенным образом расширить функциональные возможности эксплуатируемой в АО «Петербургская сбытовая компания» системы, повысить информативность аналитических данных, снизить объем ручных операций, а также продолжить работы по переводу на российское программное обеспечение.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Единая информационно-аналитическая система (ЕИАС) предназначена для автоматизации централизованного сбора и представления аналитической информации по основным сферам деятельности энергосбытовой компании с целью эффективного принятия тактических и стратегических решений бизнес-пользователями системы и предоставления аналитической информации в головные отделения и правительственные организации.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>Модернизация системы в 2026 году необходима в связи с новыми требованиями бизнес-процессов заказчика и изменениями в системах источниках, в соответствии с новыми требованиями федерального законодательства, переводом на открытое программное обеспечение инструмента загрузки и преобразования данных (модуль юридических лиц), а также для приведения системы в соответствие с требованиями информационной безопасности.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9,29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Q_15.27.10073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«Единой Информационно-аналитической системы» в 2027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Работы по модернизации ЕИАС позволят существенным образом расширить функциональные возможности эксплуатируемой в АО «Петербургская сбытовая компания» системы, повысить информативность аналитических данных, снизить объем ручных операций, а также продолжить работы по переводу на российское программное обеспечение.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Единая информационно-аналитическая система (ЕИАС) предназначена для автоматизации централизованного сбора и представления аналитической информации по основным сферам деятельности энергосбытовой компании с целью эффективного принятия тактических и стратегических решений бизнес-пользователями системы и предоставления аналитической информации в головные отделения и правительственные организации.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>Модернизация системы в 2026 году необходима в связи с новыми требованиями бизнес-процессов заказчика и изменениями в системах источниках, в соответствии с новыми требованиями федерального законодательства, переводом на открытое программное обеспечение инструмента загрузки и преобразования данных (модуль юридических лиц), а также для приведения системы в соответствие с требованиями информационной безопасности.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8,05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Q_15.28.10073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«Единой Информационно-аналитической системы» в 2028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Работы по модернизации ЕИАС позволят существенным образом расширить функциональные возможности эксплуатируемой в АО «Петербургская сбытовая компания» системы, повысить информативность аналитических данных, снизить объем ручных операций, а также продолжить работы по переводу на российское программное обеспечение.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Единая информационно-аналитическая система (ЕИАС) предназначена для автоматизации централизованного сбора и представления аналитической информации по основным сферам деятельности энергосбытовой компании с целью эффективного принятия тактических и стратегических решений бизнес-пользователями системы и предоставления аналитической информации в головные отделения и правительственные организации.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>Модернизация системы в 2026 году необходима в связи с новыми требованиями бизнес-процессов заказчика и изменениями в системах источниках, в соответствии с новыми требованиями федерального законодательства, переводом на открытое программное обеспечение инструмента загрузки и преобразования данных (модуль юридических лиц), а также для приведения системы в соответствие с требованиями информационной безопасности.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8,40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Q_15.29.10073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«Единой Информационно-аналитической системы» в 2029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Работы по модернизации ЕИАС позволят существенным образом расширить функциональные возможности эксплуатируемой в АО «Петербургская сбытовая компания» системы, повысить информативность аналитических данных, снизить объем ручных операций, а также продолжить работы по переводу на российское программное обеспечение.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Единая информационно-аналитическая система (ЕИАС) предназначена для автоматизации централизованного сбора и представления аналитической информации по основным сферам деятельности энергосбытовой компании с целью эффективного принятия тактических и стратегических решений бизнес-пользователями системы и предоставления аналитической информации в головные отделения и правительственные организации.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>Модернизация системы в 2026 году необходима в связи с новыми требованиями бизнес-процессов заказчика и изменениями в системах источниках, в соответствии с новыми требованиями федерального законодательства, переводом на открытое программное обеспечение инструмента загрузки и преобразования данных (модуль юридических лиц), а также для приведения системы в соответствие с требованиями информационной безопасности.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8,71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2029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Q_15.26.10075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информационного вычислительного комплекса в 2026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развитие интеллектуальной системы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      </w:r>
            <w:r w:rsidRPr="001116A7">
              <w:rPr>
                <w:rFonts w:ascii="Calibri" w:hAnsi="Calibri" w:cs="Calibri"/>
                <w:color w:val="000000"/>
              </w:rPr>
              <w:br/>
              <w:t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В рамках проекта «Построение интеллектуальной системы учета ИСУ» внедрен информационно-вычислительный комплекс (ИВК), предназначенный для мониторинга процесса сбора данных с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 xml:space="preserve">приборов учета и территориально расположенный на площадках технических служб каждой ЭСК Группы «Интер РАО».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4,00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Q_15.27.10075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информационного вычислительного комплекса в 2027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развитие интеллектуальной системы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      </w:r>
            <w:r w:rsidRPr="001116A7">
              <w:rPr>
                <w:rFonts w:ascii="Calibri" w:hAnsi="Calibri" w:cs="Calibri"/>
                <w:color w:val="000000"/>
              </w:rPr>
              <w:br/>
              <w:t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В рамках проекта «Построение интеллектуальной системы учета ИСУ» внедрен информационно-вычислительный комплекс (ИВК), предназначенный для мониторинга процесса сбора данных с приборов учета и территориально расположенный на площадках технических служб каждой ЭСК Группы «Интер РАО».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4,18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Q_15.28.10075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информационного вычислительного комплекса в 2028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развитие интеллектуальной системы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В рамках проекта «Построение интеллектуальной системы учета ИСУ» внедрен информационно-вычислительный комплекс (ИВК), предназначенный для мониторинга процесса сбора данных с приборов учета и территориально расположенный на площадках технических служб каждой ЭСК Группы «Интер РАО».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4,36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Q_15.29.10075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информационного вычислительного комплекса в 2029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развитие интеллектуальной системы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      </w:r>
            <w:r w:rsidRPr="001116A7">
              <w:rPr>
                <w:rFonts w:ascii="Calibri" w:hAnsi="Calibri" w:cs="Calibri"/>
                <w:color w:val="000000"/>
              </w:rPr>
              <w:br/>
              <w:t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В рамках проекта «Построение интеллектуальной системы учета ИСУ» внедрен информационно-вычислительный комплекс (ИВК), предназначенный для мониторинга процесса сбора данных с приборов учета и территориально расположенный на площадках технических служб каждой ЭСК Группы «Интер РАО».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4,52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2029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многофункциональных устройств, 100 шт. ОС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 приобретения состоит в оснащении рабочих мест пользователей МФУ, характеристики которых отвечают текущим требованиям, обеспечивают возможность бесперебойного приобретения расходных материалов и соответствует положениям «Инструкции по обеспечению работников АО «Петербургская сбытовая компания» ИТ-оборудованием и ПО».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В настоящее время в АО «Петербургская сбытовая компания» на рабочих местах пользователей используется значительное число многофункциональных печатающих устройств (МФУ), введенных в эксплуатацию до 2014 года и выработавших свой ресурс. Также в эксплуатации остаются единичные экземпляры разнородного печатного оборудования, введенного в период до 2010 года. Данные МФУ и притеры требуют замены, кроме того, в текущих условиях к ним затруднено приобретение расходных материалов импортного производства.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Приобретение современных МФУ необходимо для унификации при оснащении рабочих мест пользователей АО «Петербургская сбытовая компания», а также замены устаревшего оборудования. </w:t>
            </w:r>
            <w:r w:rsidRPr="001116A7">
              <w:rPr>
                <w:rFonts w:ascii="Calibri" w:hAnsi="Calibri" w:cs="Calibri"/>
                <w:color w:val="000000"/>
              </w:rPr>
              <w:br/>
              <w:t>Карта текущего состояния парка МФУ с учетом даты ввода в эксплуатацию в файле «Расчет для планирования раб.мест ДО.xlsx».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МФУ Катюша M247 принтер/копир/сканер/факс  -  100 шт.;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3,35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Q_15.01.10080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лицензий импортозамещенной системы резервного копирования в 2026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обеспечение импортонезависимости и бесперебойного функционирования инфраструктуры Общества на базе отечественного ПО.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 связи с расширением промышленной фермы виртуализации на базе РэдВиртуализация, требуется закупка дополнительных лицензий к системе резервного копирования КиберБэкап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0,39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лицензий для импортозамещения систем виртуализации и серверных операционных систем в 2026 году, 3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обеспечение импортонезависимости и бесперебойного функционирования инфраструктуры Общества на базе отечественного ПО.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В настоящее время, в инфраструктуре и информационных системах АО «Петербургская сбытовая компания» используется ряд иностранных программных продуктов, относящихся к системам виртуализации (VMware, Oracle VM) и к серверным операционным системам (ОС: Microsoft Windows Server, Red Hat Enterprise Linux, Oracle Linux и др.). </w:t>
            </w:r>
            <w:r w:rsidRPr="001116A7">
              <w:rPr>
                <w:rFonts w:ascii="Calibri" w:hAnsi="Calibri" w:cs="Calibri"/>
                <w:color w:val="000000"/>
              </w:rPr>
              <w:br/>
              <w:t>Все перечисленное ПО подлежит поэтапной замене на отечественные программные продукты в рамках процесса импортозамещения, с учетом положений Стратегии цифровой трансформации Группы «Интер РАО» 2020-2025 с перспективой до 2030 года, утверждённой Советом директоров ПАО «Интер РАО», протокол от 13.08.2024 № 358, и Приказа ПАО «Интер РАО» от 13.09.2022 № ИРАО/393» Об импортонезависимости и безопасности бизнеса Группы ПАО «Интер РАО».</w:t>
            </w:r>
            <w:r w:rsidRPr="001116A7">
              <w:rPr>
                <w:rFonts w:ascii="Calibri" w:hAnsi="Calibri" w:cs="Calibri"/>
                <w:color w:val="000000"/>
              </w:rPr>
              <w:br/>
              <w:t>В рамках проекта планируется приобретение лицензий на отечественные системы виртуализации (РЕДВирт) и операционные системы (РЕД ОС) в соответствии с текущей потребностью для перевода промышленных гипервизоров и виртуальных машин ИС «Пальмира» (в т.ч. «Сибирь»), ИС «Нева» развернутых на платформе Delta, а также для создания нового тестового стенда для ИС «Единый Биллинг». В 2023 году под нужны ИС «Пальмира» было закуплено 7 лицензий. Однако, разработчик, в рамках исполнения поручений по реализации планов по импортозамещению масштабировал решение на РЕДВирт на большее количество физических серверов: фактически сейчас используется 24 гипервизора на РЕДВирт, планируется и дальше наращивать количество гипервизоров на отечественных ОС. Дополнительно в 2025 тестовый стенд был частично переведен на РЕДВирт, что потребовало еще 4 лицензии. Лицензии РЕД ОС предназначены для перевода части виртуальных машин ИС «Пальмира», «Нева» на импортозамещенные ОС. Требуемое количество продуктов оценено, исходя из фактического состояния платформ, и планов перевода до конца 2026 года.</w:t>
            </w:r>
            <w:r w:rsidRPr="001116A7">
              <w:rPr>
                <w:rFonts w:ascii="Calibri" w:hAnsi="Calibri" w:cs="Calibri"/>
                <w:color w:val="000000"/>
              </w:rPr>
              <w:br/>
              <w:t>Планы перехода на новый биллинг (OmniUS) не влияют на необходимость приобретения отечественных лицензий, поскольку он состоится не ранее 2028 года, при этом мероприятия по  импортозамещению инфраструктурных элементов должны проводиться в соответствии с установленными целевыми ориентирами.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1,63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лицензий на право пользования информационной системой управления проектами и инвестиционными программами (Инвеста в 2026 году),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АО «Петербургская сбытовая компания» права на использования программы ЭВМ «Информационная система управления проектами и инвестиционными программами «ИНВЕСТА»»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Проект является централизованным проектом ПАО «Интер РАО». Основными целями проекта на предоставление права использования программы ЭВМ «Информационная система управления проектами и инвестиционными программами «ИНВЕСТА»» являются: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количества ошибок, в том числе за счет интеграции с ИС, являющимися потребителями информации по ИПКВ и ИПР;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количества рутинных операций по подготовке документов и отчетности;</w:t>
            </w:r>
            <w:r w:rsidRPr="001116A7">
              <w:rPr>
                <w:rFonts w:ascii="Calibri" w:hAnsi="Calibri" w:cs="Calibri"/>
                <w:color w:val="000000"/>
              </w:rPr>
              <w:br/>
              <w:t>- повышение эффективности управления как отдельными проектами, так и инвестиционной программой в целом;</w:t>
            </w:r>
            <w:r w:rsidRPr="001116A7">
              <w:rPr>
                <w:rFonts w:ascii="Calibri" w:hAnsi="Calibri" w:cs="Calibri"/>
                <w:color w:val="000000"/>
              </w:rPr>
              <w:br/>
              <w:t>- своевременное обеспечение актуальной информацией лиц, принимающих решения;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- повышение оперативности взаимодействия и обеспечение скоординированной работы специалистов структурных подразделений;</w:t>
            </w:r>
            <w:r w:rsidRPr="001116A7">
              <w:rPr>
                <w:rFonts w:ascii="Calibri" w:hAnsi="Calibri" w:cs="Calibri"/>
                <w:color w:val="000000"/>
              </w:rPr>
              <w:br/>
              <w:t>- обеспечение контроля над исполнением ИПКВ, эффективностью вложения денежных средств;</w:t>
            </w:r>
            <w:r w:rsidRPr="001116A7">
              <w:rPr>
                <w:rFonts w:ascii="Calibri" w:hAnsi="Calibri" w:cs="Calibri"/>
                <w:color w:val="000000"/>
              </w:rPr>
              <w:br/>
              <w:t>- создание единой базы данных по ИПКВ.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0,81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Q_15.26.10083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управления потоками сбора и передачи данных «Пионер» в 2026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развитие системы управления потоками сбора и передачи данных «Пионер» 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      </w:r>
            <w:r w:rsidRPr="001116A7">
              <w:rPr>
                <w:rFonts w:ascii="Calibri" w:hAnsi="Calibri" w:cs="Calibri"/>
                <w:color w:val="000000"/>
              </w:rPr>
              <w:br/>
              <w:t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В рамках проекта «Построение интеллектуальной системы учета ИСУ» внедрен информационно-вычислительный комплекс (ИВК), одним из составляющих которого является система управления потоками сбора и передачи данных с ИПУ (программно-аппаратных средств, допущенных в эксплуатацию для целей коммерческого учета электрической энергии на розничных рынках электрической энергии и (или) предоставления коммунальных услуг по электроснабжению), и присоединенных к ИСУ, при этом имеющая возможностью передачи управляющих команд.  Данная система обеспечивает передачу данных между приборами и комплексами информационно-измерительного комплекса и ИВК, осуществляет контроль доступности, обеспечивает полноту сбора данных и отслеживает динамически изменяемые маршруты доступа к приборам учета.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1,83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Q_15.27.10083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управления потоками сбора и передачи данных «Пионер» в 2027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развитие системы управления потоками сбора и передачи данных «Пионер» 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В рамках проекта «Построение интеллектуальной системы учета ИСУ» внедрен информационно-вычислительный комплекс (ИВК), одним из составляющих которого является система управления потоками сбора и передачи данных с ИПУ (программно-аппаратных средств, допущенных в эксплуатацию для целей коммерческого учета электрической энергии на розничных рынках электрической энергии и (или) предоставления коммунальных услуг по электроснабжению), и присоединенных к ИСУ, при этом имеющая возможностью передачи управляющих команд.  Данная система обеспечивает передачу данных между приборами и комплексами информационно-измерительного комплекса и ИВК, осуществляет контроль доступности, обеспечивает полноту сбора данных и отслеживает динамически изменяемые маршруты доступа к приборам учета.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1,92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Q_15.28.10083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управления потоками сбора и передачи данных «Пионер» в 2028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развитие системы управления потоками сбора и передачи данных «Пионер» 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      </w:r>
            <w:r w:rsidRPr="001116A7">
              <w:rPr>
                <w:rFonts w:ascii="Calibri" w:hAnsi="Calibri" w:cs="Calibri"/>
                <w:color w:val="000000"/>
              </w:rPr>
              <w:br/>
              <w:t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В рамках проекта «Построение интеллектуальной системы учета ИСУ» внедрен информационно-вычислительный комплекс (ИВК), одним из составляющих которого является система управления потоками сбора и передачи данных с ИПУ (программно-аппаратных средств, допущенных в эксплуатацию для целей коммерческого учета электрической энергии на розничных рынках электрической энергии и (или) предоставления коммунальных услуг по электроснабжению), и присоединенных к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 xml:space="preserve">ИСУ, при этом имеющая возможностью передачи управляющих команд.  Данная система обеспечивает передачу данных между приборами и комплексами информационно-измерительного комплекса и ИВК, осуществляет контроль доступности, обеспечивает полноту сбора данных и отслеживает динамически изменяемые маршруты доступа к приборам учета.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2,00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Q_15.29.10083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Развитие системы управления потоками сбора и передачи данных «Пионер» в 2029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развитие системы управления потоками сбора и передачи данных «Пионер» 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      </w:r>
            <w:r w:rsidRPr="001116A7">
              <w:rPr>
                <w:rFonts w:ascii="Calibri" w:hAnsi="Calibri" w:cs="Calibri"/>
                <w:color w:val="000000"/>
              </w:rPr>
              <w:br/>
              <w:t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В рамках проекта «Построение интеллектуальной системы учета ИСУ» внедрен информационно-вычислительный комплекс (ИВК), одним из составляющих которого является система управления потоками сбора и передачи данных с ИПУ (программно-аппаратных средств, допущенных в эксплуатацию для целей коммерческого учета электрической энергии на розничных рынках электрической энергии и (или) предоставления коммунальных услуг по электроснабжению), и присоединенных к ИСУ, при этом имеющая возможностью передачи управляющих команд.  Данная система обеспечивает передачу данных между приборами и комплексами информационно-измерительного комплекса и ИВК, осуществляет контроль доступности, обеспечивает полноту сбора данных и отслеживает динамически изменяемые маршруты доступа к приборам учета.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2,08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2029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коммутационного оборудования в 2026 году, 53 шт. ОС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Обеспечение работы сети передачи данных в серверных помещениях в ЦО и ОСЭ АО ПСК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 2026 году ПСК планирует приобретение коммутационного оборудования для обеспечения расширения сети передачи данных в центральном офисе, ввиду приобретения нового серверного оборудования, а также завершения процесса импортозамещения коммутационного оборудования в отделениях по сбыту электроэнергии (ОСЭ).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По результатам анализа предлагаемых на рынке продуктов и из соображений совместимости с ранее приобретенным коммутационным оборудованием, принято решение о приобретении следующего коммутационного оборудования H3C (Китай) и Eltex (Россия, включено в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реестр РЭП):</w:t>
            </w:r>
            <w:r w:rsidRPr="001116A7">
              <w:rPr>
                <w:rFonts w:ascii="Calibri" w:hAnsi="Calibri" w:cs="Calibri"/>
                <w:color w:val="000000"/>
              </w:rPr>
              <w:br/>
              <w:t>1. Коммутатор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H3C S6825-54HF L3 Ethernet Switch with 48*25G SFP28 Ports and 6*100G QSFP28 Ports - 4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. 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1.1. </w:t>
            </w:r>
            <w:r w:rsidRPr="001116A7">
              <w:rPr>
                <w:rFonts w:ascii="Calibri" w:hAnsi="Calibri" w:cs="Calibri"/>
                <w:color w:val="000000"/>
              </w:rPr>
              <w:t>Блок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питания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450W AC Power Supply Module (Power Panel Side Intake Airflow) - 8 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1.2. </w:t>
            </w:r>
            <w:r w:rsidRPr="001116A7">
              <w:rPr>
                <w:rFonts w:ascii="Calibri" w:hAnsi="Calibri" w:cs="Calibri"/>
                <w:color w:val="000000"/>
              </w:rPr>
              <w:t>Вентиляторный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блок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H3C Fan Module (Fan Panel Side Intake Airflow, Only for Tencent) -20 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1.3. </w:t>
            </w:r>
            <w:r w:rsidRPr="001116A7">
              <w:rPr>
                <w:rFonts w:ascii="Calibri" w:hAnsi="Calibri" w:cs="Calibri"/>
                <w:color w:val="000000"/>
              </w:rPr>
              <w:t>Оптический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трансивер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25G SFP28 Optical Transceiver Module (850nm,100m,SR,MM,LC) – 192 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2. </w:t>
            </w:r>
            <w:r w:rsidRPr="001116A7">
              <w:rPr>
                <w:rFonts w:ascii="Calibri" w:hAnsi="Calibri" w:cs="Calibri"/>
                <w:color w:val="000000"/>
              </w:rPr>
              <w:t>Коммутатор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H3C S6805-54HT L3 Ethernet Switch with 48 10GBASE-T Ports and 6 QSFP28 Ports - 4 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2.1. </w:t>
            </w:r>
            <w:r w:rsidRPr="001116A7">
              <w:rPr>
                <w:rFonts w:ascii="Calibri" w:hAnsi="Calibri" w:cs="Calibri"/>
                <w:color w:val="000000"/>
              </w:rPr>
              <w:t>Блок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питания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450W AC Power Supply Module (Power Panel Side Intake Airflow) - 8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2.2. </w:t>
            </w:r>
            <w:r w:rsidRPr="001116A7">
              <w:rPr>
                <w:rFonts w:ascii="Calibri" w:hAnsi="Calibri" w:cs="Calibri"/>
                <w:color w:val="000000"/>
              </w:rPr>
              <w:t>Вентиляторный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блок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H3C Fan Module (Fan Panel Side Intake Airflow, Only for Tencent) – 20 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2.3. </w:t>
            </w:r>
            <w:r w:rsidRPr="001116A7">
              <w:rPr>
                <w:rFonts w:ascii="Calibri" w:hAnsi="Calibri" w:cs="Calibri"/>
                <w:color w:val="000000"/>
              </w:rPr>
              <w:t>Кабель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100G QSFP28 to 100G QSFP28 1m Passive Cable - 12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2.4. </w:t>
            </w:r>
            <w:r w:rsidRPr="001116A7">
              <w:rPr>
                <w:rFonts w:ascii="Calibri" w:hAnsi="Calibri" w:cs="Calibri"/>
                <w:color w:val="000000"/>
              </w:rPr>
              <w:t>Модуль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QSFP+ 40GBASE BIDI Optical Transceiver Module (850nm,300m) - 20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>3. Ethernet-</w:t>
            </w:r>
            <w:r w:rsidRPr="001116A7">
              <w:rPr>
                <w:rFonts w:ascii="Calibri" w:hAnsi="Calibri" w:cs="Calibri"/>
                <w:color w:val="000000"/>
              </w:rPr>
              <w:t>коммутатор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MES2300-24P, 24 </w:t>
            </w:r>
            <w:r w:rsidRPr="001116A7">
              <w:rPr>
                <w:rFonts w:ascii="Calibri" w:hAnsi="Calibri" w:cs="Calibri"/>
                <w:color w:val="000000"/>
              </w:rPr>
              <w:t>порта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10/100/1000BASE-T (RJ-45) PoE/PoE+, 4 </w:t>
            </w:r>
            <w:r w:rsidRPr="001116A7">
              <w:rPr>
                <w:rFonts w:ascii="Calibri" w:hAnsi="Calibri" w:cs="Calibri"/>
                <w:color w:val="000000"/>
              </w:rPr>
              <w:t>порта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10GBASE-R (SFP+)/1000BASE-X (SFP), L3, 220V AC - 24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>4. Ethernet-</w:t>
            </w:r>
            <w:r w:rsidRPr="001116A7">
              <w:rPr>
                <w:rFonts w:ascii="Calibri" w:hAnsi="Calibri" w:cs="Calibri"/>
                <w:color w:val="000000"/>
              </w:rPr>
              <w:t>коммутатор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MES2300-48P, 48 </w:t>
            </w:r>
            <w:r w:rsidRPr="001116A7">
              <w:rPr>
                <w:rFonts w:ascii="Calibri" w:hAnsi="Calibri" w:cs="Calibri"/>
                <w:color w:val="000000"/>
              </w:rPr>
              <w:t>портов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10/100/1000BASE-T (RJ-45) PoE/PoE+, 4 </w:t>
            </w:r>
            <w:r w:rsidRPr="001116A7">
              <w:rPr>
                <w:rFonts w:ascii="Calibri" w:hAnsi="Calibri" w:cs="Calibri"/>
                <w:color w:val="000000"/>
              </w:rPr>
              <w:t>порта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10GBASE-R (SFP+)/1000BASE-X (SFP), L3, 2 </w:t>
            </w:r>
            <w:r w:rsidRPr="001116A7">
              <w:rPr>
                <w:rFonts w:ascii="Calibri" w:hAnsi="Calibri" w:cs="Calibri"/>
                <w:color w:val="000000"/>
              </w:rPr>
              <w:t>слота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для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модулей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питания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- 7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4.1. </w:t>
            </w:r>
            <w:r w:rsidRPr="001116A7">
              <w:rPr>
                <w:rFonts w:ascii="Calibri" w:hAnsi="Calibri" w:cs="Calibri"/>
                <w:color w:val="000000"/>
              </w:rPr>
              <w:t>Модуль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питания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PM950-220/56, 220V AC, 950W-7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4.2. SFP 1,25 GE </w:t>
            </w:r>
            <w:r w:rsidRPr="001116A7">
              <w:rPr>
                <w:rFonts w:ascii="Calibri" w:hAnsi="Calibri" w:cs="Calibri"/>
                <w:color w:val="000000"/>
              </w:rPr>
              <w:t>модуль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550</w:t>
            </w:r>
            <w:r w:rsidRPr="001116A7">
              <w:rPr>
                <w:rFonts w:ascii="Calibri" w:hAnsi="Calibri" w:cs="Calibri"/>
                <w:color w:val="000000"/>
              </w:rPr>
              <w:t>м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, MM, 2 </w:t>
            </w:r>
            <w:r w:rsidRPr="001116A7">
              <w:rPr>
                <w:rFonts w:ascii="Calibri" w:hAnsi="Calibri" w:cs="Calibri"/>
                <w:color w:val="000000"/>
              </w:rPr>
              <w:t>волокна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, 850 nm, LC, DDM - 4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4.3. SFP+ Direct attach cable, 10G, 1m – 9 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>4.4. MPO CABLE patch cord UPC/UPC 3m Female (</w:t>
            </w:r>
            <w:r w:rsidRPr="001116A7">
              <w:rPr>
                <w:rFonts w:ascii="Calibri" w:hAnsi="Calibri" w:cs="Calibri"/>
                <w:color w:val="000000"/>
              </w:rPr>
              <w:t>для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QSFP+ 40G FH-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lastRenderedPageBreak/>
              <w:t xml:space="preserve">QSFP4TCDM01) - 6 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>4.5. MPO CABLE patch cord UPC/UPC 10m Female (</w:t>
            </w:r>
            <w:r w:rsidRPr="001116A7">
              <w:rPr>
                <w:rFonts w:ascii="Calibri" w:hAnsi="Calibri" w:cs="Calibri"/>
                <w:color w:val="000000"/>
              </w:rPr>
              <w:t>для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QSFP+ 40G FH-QSFP4TCDM01) -6 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4.6. </w:t>
            </w:r>
            <w:r w:rsidRPr="001116A7">
              <w:rPr>
                <w:rFonts w:ascii="Calibri" w:hAnsi="Calibri" w:cs="Calibri"/>
                <w:color w:val="000000"/>
              </w:rPr>
              <w:t>Хомут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-</w:t>
            </w:r>
            <w:r w:rsidRPr="001116A7">
              <w:rPr>
                <w:rFonts w:ascii="Calibri" w:hAnsi="Calibri" w:cs="Calibri"/>
                <w:color w:val="000000"/>
              </w:rPr>
              <w:t>липучка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REXANT 5000</w:t>
            </w:r>
            <w:r w:rsidRPr="001116A7">
              <w:rPr>
                <w:rFonts w:ascii="Calibri" w:hAnsi="Calibri" w:cs="Calibri"/>
                <w:color w:val="000000"/>
              </w:rPr>
              <w:t>мм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х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20</w:t>
            </w:r>
            <w:r w:rsidRPr="001116A7">
              <w:rPr>
                <w:rFonts w:ascii="Calibri" w:hAnsi="Calibri" w:cs="Calibri"/>
                <w:color w:val="000000"/>
              </w:rPr>
              <w:t>мм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, </w:t>
            </w:r>
            <w:r w:rsidRPr="001116A7">
              <w:rPr>
                <w:rFonts w:ascii="Calibri" w:hAnsi="Calibri" w:cs="Calibri"/>
                <w:color w:val="000000"/>
              </w:rPr>
              <w:t>полиамид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, 1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[07-7526] - 6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  <w:t xml:space="preserve">5. </w:t>
            </w:r>
            <w:r w:rsidRPr="001116A7">
              <w:rPr>
                <w:rFonts w:ascii="Calibri" w:hAnsi="Calibri" w:cs="Calibri"/>
                <w:color w:val="000000"/>
              </w:rPr>
              <w:t>Источник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бесперебойного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16A7">
              <w:rPr>
                <w:rFonts w:ascii="Calibri" w:hAnsi="Calibri" w:cs="Calibri"/>
                <w:color w:val="000000"/>
              </w:rPr>
              <w:t>питания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 xml:space="preserve"> SKAT-UPS 3000-RACK-ON-6x9-E - 14</w:t>
            </w:r>
            <w:r w:rsidRPr="001116A7">
              <w:rPr>
                <w:rFonts w:ascii="Calibri" w:hAnsi="Calibri" w:cs="Calibri"/>
                <w:color w:val="000000"/>
              </w:rPr>
              <w:t>шт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1116A7">
              <w:rPr>
                <w:rFonts w:ascii="Calibri" w:hAnsi="Calibri" w:cs="Calibri"/>
                <w:color w:val="000000"/>
                <w:lang w:val="en-US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t>6. Источник бесперебойного питания SKAT-UPS 2000/1200 - 7шт.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br/>
              <w:t>Позиции 1-6 являются отдельными обособленными предметами, предназначенными для выполнения определенных самостоятельных функций. Остальные позиции спецификации включаются в состав коммутаторов (позиции 1-4), соответственно, с увеличением стоимости ОС.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4,09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Q_15.01.10086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системы электронного архива в 2026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Целью модернизации электронного архива является расширение функциональных возможностей системы, обеспечение интеграции Системы с другими информационными системами, используемыми в Обществе. 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В 2019 году в АО «Петербургская сбытовая компания» в рамках инвестиционного проекта внедрена система «Электронный архива документов» (далее – ЭАД). На текущий период появились дополнительные требования и задачи по модернизации текущего функционала и добавления новых типов документов, а также необходимость интеграции с новыми системами, внедряемыми в АО «Петербургская сбытовая компания». </w:t>
            </w:r>
            <w:r w:rsidRPr="001116A7">
              <w:rPr>
                <w:rFonts w:ascii="Calibri" w:hAnsi="Calibri" w:cs="Calibri"/>
                <w:color w:val="000000"/>
              </w:rPr>
              <w:br/>
              <w:t>Если данная система не будет модернизирована, то возникнут риски неполноценного использования системы, а также замедления скорости работы пользователей; появится необходимость создания дополнительного бумажного архива документов по новым документам либо ручное заведения их в систему. Более того, в связи с полным переходом на использование Инновационного биллинга физических лиц и CRM в части работы с бытовыми потребителями и перспективы внедрения инструментов распознавания текста для разбора входящей корреспонденции вырастает объем централизованного оцифрованного документооборота – и модернизация ЭАД для обеспечения полноценного систематизированного хранения полученных в результате взаимодействия с потребителями документов направлена на сохранение быстродействия указанных систем, не предназначенных для долгосрочного хранения данных.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Требования действующих подзаконных актов Минкомсвязи России N 74, Минстроя России N 114/пр от 29.02.2016, раздел 8, п.2 обязывают Гарантирующего поставщика в дополнение к содержанию бумажного архива документов, проводить работы по сканированию документов для загрузки электронных образов договоров и дополнительных соглашений в ГИС ЖКХ, что в свою очередь влечет формирование электронной базы договоров и дополнительных соглашений. Создание централизованного электронного архива документов позволило сделать хранение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 xml:space="preserve">документов менее затратным, документы в цифровом формате менее уязвимы, чем бумажные, оперативно производить все операции с документами. 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8,27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лицензий на программное обеспечение средств криптографической защиты информации в 2026 году, 3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 приобретения расширение криптозащищенной виртуальной сети для безопасного соединения и организации защищенного удаленного доступа к ресурсам центрального офиса, ЦОД и ОСЭ через Интернет.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Для обеспечения криптографической защиты инфраструктуры и значимого документооборота в АО «Петербургская сбытовая компания» сертифицированного по требованиям Федеральной службы безопасности (ФСБ) средство криптографической защиты. </w:t>
            </w:r>
            <w:r w:rsidRPr="001116A7">
              <w:rPr>
                <w:rFonts w:ascii="Calibri" w:hAnsi="Calibri" w:cs="Calibri"/>
                <w:color w:val="000000"/>
              </w:rPr>
              <w:br/>
              <w:t>Данная закупка – приобретение бессрочных лицензий и сертификатов технической поддержки.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0,07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ноутбуков и планшетов в 2026 году, 150 шт. ОС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обеспечение подразделений ЦО необходимой компьютерной техникой, отвечающей производственным потребностям Общества.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Техническое решение проекта выработано на основании корпоративных стандартов Группы «Интер РАО» в соответствии с предъявляемыми к закупаемой технике требованиями.</w:t>
            </w:r>
            <w:r w:rsidRPr="001116A7">
              <w:rPr>
                <w:rFonts w:ascii="Calibri" w:hAnsi="Calibri" w:cs="Calibri"/>
                <w:color w:val="000000"/>
              </w:rPr>
              <w:br/>
              <w:t>По результатам анализа рынка устройств, выбор сделан в пользу отечественных производителей (все оборудование включено в реестры Минпромторга).</w:t>
            </w:r>
            <w:r w:rsidRPr="001116A7">
              <w:rPr>
                <w:rFonts w:ascii="Calibri" w:hAnsi="Calibri" w:cs="Calibri"/>
                <w:color w:val="000000"/>
              </w:rPr>
              <w:br/>
              <w:t>В рамках развития ИС Алькор планируется внедрение функционала для работы с юридическими лицами. В связи с этим, необходима выдача мобильных устройств линейному персоналу, осуществляющему взаимодействие с ЮЛ, в количестве 41 ед. на основании служебной записки директора по техническому сопровождению сбытовой деятельности от 11.02.2025 №ПСК/СЗ/03/37. Дополнительные 9 ед. приобретаются для замены вышедших из строя и утраченных устройств прошлых поставок (первая партия планшетов Mig T8 в количестве 100 шт. поставлена в июне 2022 года).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Ноутбук KVADRA NAU LE15T Intel Core i3-1315U (rev 1.2)/8 ГБ/256 ГБ NVMe/ 65 W/WiFi/ Bluetooth/ без ОС /графит  -  100 шт.</w:t>
            </w:r>
            <w:r w:rsidRPr="001116A7">
              <w:rPr>
                <w:rFonts w:ascii="Calibri" w:hAnsi="Calibri" w:cs="Calibri"/>
                <w:color w:val="000000"/>
              </w:rPr>
              <w:br/>
              <w:t>Мобильный компьютер MIG T8X Pro,SDM632 1,8Ghz, 4Gb/64Gb, 800*1280 LCD, 5MP/13MP, 4G LTE - 50 шт.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3,43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Роботизация бизнес-процессов в 2026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«Роботизация» является: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>-высвобождение трудозатрат сотрудников на более комплексные и интеллектуальные задачи;</w:t>
            </w:r>
            <w:r w:rsidRPr="001116A7">
              <w:rPr>
                <w:rFonts w:ascii="Calibri" w:hAnsi="Calibri" w:cs="Calibri"/>
                <w:color w:val="000000"/>
              </w:rPr>
              <w:br/>
              <w:t>-минимизация ошибок ручного труда;</w:t>
            </w:r>
            <w:r w:rsidRPr="001116A7">
              <w:rPr>
                <w:rFonts w:ascii="Calibri" w:hAnsi="Calibri" w:cs="Calibri"/>
                <w:color w:val="000000"/>
              </w:rPr>
              <w:br/>
              <w:t>-уменьшение переработок сотрудников при пиковых нагрузках;</w:t>
            </w:r>
            <w:r w:rsidRPr="001116A7">
              <w:rPr>
                <w:rFonts w:ascii="Calibri" w:hAnsi="Calibri" w:cs="Calibri"/>
                <w:color w:val="000000"/>
              </w:rPr>
              <w:br/>
              <w:t>-увеличение скорости выполнения бизнес-процессов.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В Обществе внедрено и используется большое количество централизованных информационных систем, между которыми требуется информационное взаимодействие. Настраивать интеграцию не всегда целесообразно, т.к. она потребует значительных экономических и временных затрат. Проблема обычно решается с помощью дополнительных конвертеров данных, а также путем добавления в бизнес-процесс дополнительных ручных операций. Кроме того, многие производственные процессы требуют информационного взаимодействия со сторонними ресурсами, настройка интеграции с которыми зачастую невозможна. </w:t>
            </w:r>
            <w:r w:rsidRPr="001116A7">
              <w:rPr>
                <w:rFonts w:ascii="Calibri" w:hAnsi="Calibri" w:cs="Calibri"/>
                <w:color w:val="000000"/>
              </w:rPr>
              <w:br/>
              <w:t>Роботизация – это новая форма автоматизации бизнес-процессов, направленная на повышение эффективности операций. (RPA, Robotic Process Automation). Отличие технологий роботизации от стандартной процедуры автоматизации бизнес-процессов в том, что для работы робота не требуется интеграция используемых систем, действия выполняются через пользовательский интерфейс, имитируя работу сотрудника.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С 2022 года в АО «Петербургская сбытовая компания» были внедрены и поставлены на учет несколько программных роботов, выполняющих рутинные этапы бизнес-процессов вместо пользователей - сотрудников. На настоящий момент полноценно функционируют 6 программных роботов, и еще 1 находится на стадии отладки (в связи с изменением интерфейсов рабочей среды). Указанные роботизированные решения были разработаны на базе платформы R.bot – специализированного ПО для разработки, настройки и запуска программных роботов.  В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последующие годы была продолжена эксплуатация ранее внедренных роботов, а также анализ бизнес-процессов на предмет возможности их роботизации и тестирование новых роботов для последующего внедрения.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Технологической особенностью роботизированных решений является их привязка к конкретному ПО для настройки и запуска – роботы, созданные на базе платформы R.bot, не могут быть запущены на какой-либо иной платформе или без нее. В настоящее время возникла потребность глобальной переработки действующих роботов для перехода на импортозамещенное ПО (изменение версии платформы для работы в ОС Astra Linux, перенастройка алгоритмов работы роботов в связи с визуальным изменением используемых интерфейсов сервисов и хранилищ, адаптация почтовых сервисов и др.) </w:t>
            </w:r>
            <w:r w:rsidRPr="001116A7">
              <w:rPr>
                <w:rFonts w:ascii="Calibri" w:hAnsi="Calibri" w:cs="Calibri"/>
                <w:color w:val="000000"/>
              </w:rPr>
              <w:br/>
              <w:t>Также в 2026г. планируется разработка новых роботов, в соответствии с предложениями функциональных заказчиков:</w:t>
            </w:r>
            <w:r w:rsidRPr="001116A7">
              <w:rPr>
                <w:rFonts w:ascii="Calibri" w:hAnsi="Calibri" w:cs="Calibri"/>
                <w:color w:val="000000"/>
              </w:rPr>
              <w:br/>
              <w:t>· повторный заказ исполнительного листа;</w:t>
            </w:r>
            <w:r w:rsidRPr="001116A7">
              <w:rPr>
                <w:rFonts w:ascii="Calibri" w:hAnsi="Calibri" w:cs="Calibri"/>
                <w:color w:val="000000"/>
              </w:rPr>
              <w:br/>
              <w:t>· получение полных сведений о правах на недвижимое имущество через сервис удаленных нотариальных действий.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1,52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серверного оборудования в 2026 году, 15 шт. ОС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проекта является обеспечение вычислительных мощностей для информационных систем, а также замена оборудования, выработавшего свой ресурс на новое, обладающее необходимым быстродействием и отказоустойчивостью в соответствии с Методикой МТ-185-1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К замене планируются СХД:</w:t>
            </w:r>
            <w:r w:rsidRPr="001116A7">
              <w:rPr>
                <w:rFonts w:ascii="Calibri" w:hAnsi="Calibri" w:cs="Calibri"/>
                <w:color w:val="000000"/>
              </w:rPr>
              <w:br/>
              <w:t>• СХД промышленной фермы в Датацентре IBM FS5035 с полкой расширения (серийные №№ 781H1A0 (2021 г.), 781G3B6 (2021 г.)). Полезный объем составляет - 48ТБ.</w:t>
            </w:r>
            <w:r w:rsidRPr="001116A7">
              <w:rPr>
                <w:rFonts w:ascii="Calibri" w:hAnsi="Calibri" w:cs="Calibri"/>
                <w:color w:val="000000"/>
              </w:rPr>
              <w:br/>
              <w:t>• СХД резервного копирования в Датацентре IBM FS5015 с полкой расширения (серийные №№ 781F9C2 (2021г.), 781H1M0 (2021г.)). Полезный объем составляет – 65 ТБ</w:t>
            </w:r>
            <w:r w:rsidRPr="001116A7">
              <w:rPr>
                <w:rFonts w:ascii="Calibri" w:hAnsi="Calibri" w:cs="Calibri"/>
                <w:color w:val="000000"/>
              </w:rPr>
              <w:br/>
              <w:t>К моменту реализации проекта, указанное оборудование выработает свой ресурс, на него закончится гарантийная поддержка и будет необходим вывод из промышленной эксплуатации в соответствии с Методикой МТ-185-1. Выведенное из промышленной эксплуатации оборудование будет использовано в тестовых средах различных ИС Общества.</w:t>
            </w:r>
            <w:r w:rsidRPr="001116A7">
              <w:rPr>
                <w:rFonts w:ascii="Calibri" w:hAnsi="Calibri" w:cs="Calibri"/>
                <w:color w:val="000000"/>
              </w:rPr>
              <w:br/>
              <w:t>Для обеспечения непрерывности работы критичных информационных систем, требуется расширение дисковых ресурсов с учетом прогнозов роста объема данных до 2029г.:</w:t>
            </w:r>
            <w:r w:rsidRPr="001116A7">
              <w:rPr>
                <w:rFonts w:ascii="Calibri" w:hAnsi="Calibri" w:cs="Calibri"/>
                <w:color w:val="000000"/>
              </w:rPr>
              <w:br/>
              <w:t>1. ПТП Система «Инновационный биллинг. Пальмира» - СУБД. Общая потребность в дисковом пространстве на 06.2029 по СУБД составит - 467,1 ТБ</w:t>
            </w:r>
            <w:r w:rsidRPr="001116A7">
              <w:rPr>
                <w:rFonts w:ascii="Calibri" w:hAnsi="Calibri" w:cs="Calibri"/>
                <w:color w:val="000000"/>
              </w:rPr>
              <w:br/>
              <w:t>2. ПТП Системы «Инновационный биллинг. Пальмира» - приложения. Общая потребность в дисковом пространстве на 06.2029 в части приложений составит - 74,85 ТБ</w:t>
            </w:r>
            <w:r w:rsidRPr="001116A7">
              <w:rPr>
                <w:rFonts w:ascii="Calibri" w:hAnsi="Calibri" w:cs="Calibri"/>
                <w:color w:val="000000"/>
              </w:rPr>
              <w:br/>
              <w:t>3. ПТП «Информационная система централизованного управления цифровыми процессами розничного бизнеса» (НЕВА) - СУБД. Общая потребность в дисковом пространстве на 06.2029 по СУБД Нева составит - 55,1 ТБ</w:t>
            </w:r>
            <w:r w:rsidRPr="001116A7">
              <w:rPr>
                <w:rFonts w:ascii="Calibri" w:hAnsi="Calibri" w:cs="Calibri"/>
                <w:color w:val="000000"/>
              </w:rPr>
              <w:br/>
              <w:t>4. ПТП «Информационная система централизованного управления цифровыми процессами розничного бизнеса» (НЕВА) и ПТП «Система управления взаимоотношениями с клиентами» (CRM) CRM – приложения. Общая потребность в дисковом пространстве на 06.2029 по в части приложений Нева и CRM составит - 91,4 ТБ</w:t>
            </w:r>
            <w:r w:rsidRPr="001116A7">
              <w:rPr>
                <w:rFonts w:ascii="Calibri" w:hAnsi="Calibri" w:cs="Calibri"/>
                <w:color w:val="000000"/>
              </w:rPr>
              <w:br/>
              <w:t>Общий требующийся объем по системам и приложениям Инновационного биллинга, Нева и CRM составит 467,1 ТБ + 74,85 ТБ + 55,1 ТБ + 91,4 ТБ = 688,45 ТБ.</w:t>
            </w:r>
            <w:r w:rsidRPr="001116A7">
              <w:rPr>
                <w:rFonts w:ascii="Calibri" w:hAnsi="Calibri" w:cs="Calibri"/>
                <w:color w:val="000000"/>
              </w:rPr>
              <w:br/>
              <w:t>Таким образом, потребуется приобретения новой высокопроизводительной СХД суммарным полезным объемом не менее  690TiB (SSD)</w:t>
            </w:r>
            <w:r w:rsidRPr="001116A7">
              <w:rPr>
                <w:rFonts w:ascii="Calibri" w:hAnsi="Calibri" w:cs="Calibri"/>
                <w:color w:val="000000"/>
              </w:rPr>
              <w:br/>
              <w:t>Для обеспечения резервного копирования (РК) критичных информационных систем, с учетом прогнозов роста объема данных до 2029г, потребуется приобретения нового СХД. 1495Тб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Для обеспечения бесперебойного питания нового оборудования также требуется приобретение ИБП.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 xml:space="preserve">В качестве СХД промышленной фермы виртуализации в ДЦ предлагается  Huawei OceanStor Dorado 5000 V6, с дисками SSD общим полезным объемом (с учетом уровня RAID6 и учетом ежегодного прироста объема данных 15%) – 110 ТБ.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В качестве СХД для резервного копирования предлагается Huawei OceanProtect X6000 с дисками NL-SAS общим полезным объемом (с учетом уровня RAID6 и учетом ежегодного прироста объема данных 15%) - 160 ТБ. </w:t>
            </w:r>
            <w:r w:rsidRPr="001116A7">
              <w:rPr>
                <w:rFonts w:ascii="Calibri" w:hAnsi="Calibri" w:cs="Calibri"/>
                <w:color w:val="000000"/>
              </w:rPr>
              <w:br/>
              <w:t>В качестве промышленной СХД под информационные системы предлагается  1 шт СХД  Huawei  Dorado 8000 V6 с дисками SSD общим полезным объемом : 780 Тб</w:t>
            </w:r>
            <w:r w:rsidRPr="001116A7">
              <w:rPr>
                <w:rFonts w:ascii="Calibri" w:hAnsi="Calibri" w:cs="Calibri"/>
                <w:color w:val="000000"/>
              </w:rPr>
              <w:br/>
              <w:t>Для обеспечения резервного копирования (РК) критичных информационных систем, с учетом прогнозов роста объема данных до 2029 г, потребуется приобретения нового СХД. 1495 Тб</w:t>
            </w:r>
            <w:r w:rsidRPr="001116A7">
              <w:rPr>
                <w:rFonts w:ascii="Calibri" w:hAnsi="Calibri" w:cs="Calibri"/>
                <w:color w:val="000000"/>
              </w:rPr>
              <w:br/>
              <w:t>Техническое решение по РК:</w:t>
            </w:r>
            <w:r w:rsidRPr="001116A7">
              <w:rPr>
                <w:rFonts w:ascii="Calibri" w:hAnsi="Calibri" w:cs="Calibri"/>
                <w:color w:val="000000"/>
              </w:rPr>
              <w:br/>
              <w:t>1 шт. СХД  Huawei OceanProtect Х6000 с дисками NL-SAS Объем 360 Тб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1 шт СХД  Huawei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OceanProtect Х8000 c 3-мя дисковыми полками с дисками NL-SAS Объем 1320 Тб</w:t>
            </w:r>
            <w:r w:rsidRPr="001116A7">
              <w:rPr>
                <w:rFonts w:ascii="Calibri" w:hAnsi="Calibri" w:cs="Calibri"/>
                <w:color w:val="000000"/>
              </w:rPr>
              <w:br/>
              <w:t>Для обеспечения бесперебойного питания нового оборудования требуется приобретение новых ИБП. Предлагается ИБП БАСТИОН SKAT-UPS 3000 RACK+6x9Ah – 10 шт. Продукция содержится в Реестре отечественного радиоэлектронного оборудования.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38,95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Создание комплекса защиты ЛВС и межсетевого взаимодействия (межсетевой экран) в 2027-2030 гг., 6 шт. ОС и 48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Целями проекта является: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Повышение уровня информационной безопасности Общества; </w:t>
            </w:r>
            <w:r w:rsidRPr="001116A7">
              <w:rPr>
                <w:rFonts w:ascii="Calibri" w:hAnsi="Calibri" w:cs="Calibri"/>
                <w:color w:val="000000"/>
              </w:rPr>
              <w:br/>
              <w:t>• Препятствование действиям злоумышленников - минимизация последствий реализации актуальные для Общества рисков ИБ;</w:t>
            </w:r>
            <w:r w:rsidRPr="001116A7">
              <w:rPr>
                <w:rFonts w:ascii="Calibri" w:hAnsi="Calibri" w:cs="Calibri"/>
                <w:color w:val="000000"/>
              </w:rPr>
              <w:br/>
              <w:t>• Получение возможности обнаруживать признаки кибератак и оказывать противодействие злоумышленникам;</w:t>
            </w:r>
            <w:r w:rsidRPr="001116A7">
              <w:rPr>
                <w:rFonts w:ascii="Calibri" w:hAnsi="Calibri" w:cs="Calibri"/>
                <w:color w:val="000000"/>
              </w:rPr>
              <w:br/>
              <w:t>• Соблюдение требований законодательства в области обеспечения информационной безопасности.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Проект реализуется в рамках Плана мероприятий Программы развития информационной безопасности группы «Интер РАО» на 2026 – 2030 года (далее Программа развития ИБ 2026 – 2030), одобренной п. 2 Протокола заседания Правления ПАО "Интер РАО" от 27.08.2025 (Информационная безопасность) № 1161.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Техническое решение проекта выработано на основании Программы развития ИБ 2026 – 2027 и включает в себя:</w:t>
            </w:r>
            <w:r w:rsidRPr="001116A7">
              <w:rPr>
                <w:rFonts w:ascii="Calibri" w:hAnsi="Calibri" w:cs="Calibri"/>
                <w:color w:val="000000"/>
              </w:rPr>
              <w:br/>
              <w:t>1. Подсистема защиты EDR для обеспечения постоянного мониторинга и быстрого обнаружения угроз на конечных устройствах</w:t>
            </w:r>
            <w:r w:rsidRPr="001116A7">
              <w:rPr>
                <w:rFonts w:ascii="Calibri" w:hAnsi="Calibri" w:cs="Calibri"/>
                <w:color w:val="000000"/>
              </w:rPr>
              <w:br/>
              <w:t>2. Подсистема защиты NGFW для обеспечения комплексной защиты корпоративных сетей и данных, находящихся в ней</w:t>
            </w:r>
            <w:r w:rsidRPr="001116A7">
              <w:rPr>
                <w:rFonts w:ascii="Calibri" w:hAnsi="Calibri" w:cs="Calibri"/>
                <w:color w:val="000000"/>
              </w:rPr>
              <w:br/>
              <w:t>3. Подсистема защиты NTA для мониторинга, анализа и выявления аномалий в сетевом трафике. Они используются для повышения безопасности сети, обнаружения угроз и предотвращения кибератак</w:t>
            </w:r>
            <w:r w:rsidRPr="001116A7">
              <w:rPr>
                <w:rFonts w:ascii="Calibri" w:hAnsi="Calibri" w:cs="Calibri"/>
                <w:color w:val="000000"/>
              </w:rPr>
              <w:br/>
              <w:t>4. Подсистема защиты среды контейнеризации (СЗСК) для обеспечения безопасности контейнеров и их окружения, включая хостовые системы, сети и хранилища</w:t>
            </w:r>
            <w:r w:rsidRPr="001116A7">
              <w:rPr>
                <w:rFonts w:ascii="Calibri" w:hAnsi="Calibri" w:cs="Calibri"/>
                <w:color w:val="000000"/>
              </w:rPr>
              <w:br/>
              <w:t>5. Подсистема защиты СУБД  (СЗБД) для обеспечения безопасности данных, хранящихся в базах данных, и предотвращения несанкционированного доступа, утечек или повреждения информации</w:t>
            </w:r>
            <w:r w:rsidRPr="001116A7">
              <w:rPr>
                <w:rFonts w:ascii="Calibri" w:hAnsi="Calibri" w:cs="Calibri"/>
                <w:color w:val="000000"/>
              </w:rPr>
              <w:br/>
              <w:t>6. Подсистема размещения ловушек (Deception) с целью обнаружения атак 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8,79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2030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Q_15.01.10095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Создание комплекса защиты ЛВС и межсетевого взаимодействия (анализатор сетевого трафика) в 2026-2027 гг., 2 шт. ОС и 8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Целями проекта является: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Повышение уровня информационной безопасности Общества; </w:t>
            </w:r>
            <w:r w:rsidRPr="001116A7">
              <w:rPr>
                <w:rFonts w:ascii="Calibri" w:hAnsi="Calibri" w:cs="Calibri"/>
                <w:color w:val="000000"/>
              </w:rPr>
              <w:br/>
              <w:t>• Препятствование действиям злоумышленников - минимизация последствий реализации актуальные для Общества рисков ИБ;</w:t>
            </w:r>
            <w:r w:rsidRPr="001116A7">
              <w:rPr>
                <w:rFonts w:ascii="Calibri" w:hAnsi="Calibri" w:cs="Calibri"/>
                <w:color w:val="000000"/>
              </w:rPr>
              <w:br/>
              <w:t>• Получение возможности обнаруживать признаки кибератак и оказывать противодействие злоумышленникам;</w:t>
            </w:r>
            <w:r w:rsidRPr="001116A7">
              <w:rPr>
                <w:rFonts w:ascii="Calibri" w:hAnsi="Calibri" w:cs="Calibri"/>
                <w:color w:val="000000"/>
              </w:rPr>
              <w:br/>
              <w:t>• Соблюдение требований законодательства в области обеспечения информационной безопасности.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Проект реализуется в рамках Плана мероприятий Программы развития информационной безопасности группы «Интер РАО» на 2026 – 2030 года (далее Программа развития ИБ 2026 – 2030), одобренной п. 2 Протокола заседания Правления ПАО "Интер РАО" от 27.08.2025 (Информационная безопасность) № 1161.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Техническое решение проекта выработано на основании Программы развития ИБ 2026 – 2027 и включает в себя:</w:t>
            </w:r>
            <w:r w:rsidRPr="001116A7">
              <w:rPr>
                <w:rFonts w:ascii="Calibri" w:hAnsi="Calibri" w:cs="Calibri"/>
                <w:color w:val="000000"/>
              </w:rPr>
              <w:br/>
              <w:t>1. Подсистема защиты EDR для обеспечения постоянного мониторинга и быстрого обнаружения угроз на конечных устройствах</w:t>
            </w:r>
            <w:r w:rsidRPr="001116A7">
              <w:rPr>
                <w:rFonts w:ascii="Calibri" w:hAnsi="Calibri" w:cs="Calibri"/>
                <w:color w:val="000000"/>
              </w:rPr>
              <w:br/>
              <w:t>2. Подсистема защиты NGFW для обеспечения комплексной защиты корпоративных сетей и данных, находящихся в ней</w:t>
            </w:r>
            <w:r w:rsidRPr="001116A7">
              <w:rPr>
                <w:rFonts w:ascii="Calibri" w:hAnsi="Calibri" w:cs="Calibri"/>
                <w:color w:val="000000"/>
              </w:rPr>
              <w:br/>
              <w:t>3. Подсистема защиты NTA для мониторинга, анализа и выявления аномалий в сетевом трафике. Они используются для повышения безопасности сети, обнаружения угроз и предотвращения кибератак</w:t>
            </w:r>
            <w:r w:rsidRPr="001116A7">
              <w:rPr>
                <w:rFonts w:ascii="Calibri" w:hAnsi="Calibri" w:cs="Calibri"/>
                <w:color w:val="000000"/>
              </w:rPr>
              <w:br/>
              <w:t>4. Подсистема защиты среды контейнеризации (СЗСК) для обеспечения безопасности контейнеров и их окружения, включая хостовые системы, сети и хранилища</w:t>
            </w:r>
            <w:r w:rsidRPr="001116A7">
              <w:rPr>
                <w:rFonts w:ascii="Calibri" w:hAnsi="Calibri" w:cs="Calibri"/>
                <w:color w:val="000000"/>
              </w:rPr>
              <w:br/>
              <w:t>5. Подсистема защиты СУБД  (СЗБД) для обеспечения безопасности данных, хранящихся в базах данных, и предотвращения несанкционированного доступа, утечек или повреждения информации</w:t>
            </w:r>
            <w:r w:rsidRPr="001116A7">
              <w:rPr>
                <w:rFonts w:ascii="Calibri" w:hAnsi="Calibri" w:cs="Calibri"/>
                <w:color w:val="000000"/>
              </w:rPr>
              <w:br/>
              <w:t>6. Подсистема размещения ловушек (Deception) с целью обнаружения атак 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6,04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Создание комплекса защиты конечных устройств (EDR) в 2027 году, 1шт. ОС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Целями проекта является: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Повышение уровня информационной безопасности Общества; </w:t>
            </w:r>
            <w:r w:rsidRPr="001116A7">
              <w:rPr>
                <w:rFonts w:ascii="Calibri" w:hAnsi="Calibri" w:cs="Calibri"/>
                <w:color w:val="000000"/>
              </w:rPr>
              <w:br/>
              <w:t>• Препятствование действиям злоумышленников - минимизация последствий реализации актуальные для Общества рисков ИБ;</w:t>
            </w:r>
            <w:r w:rsidRPr="001116A7">
              <w:rPr>
                <w:rFonts w:ascii="Calibri" w:hAnsi="Calibri" w:cs="Calibri"/>
                <w:color w:val="000000"/>
              </w:rPr>
              <w:br/>
              <w:t>• Получение возможности обнаруживать признаки кибератак и оказывать противодействие злоумышленникам;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Соблюдение требований законодательства в области обеспечения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информационной безопасности.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Проект реализуется в рамках Плана мероприятий Программы развития информационной безопасности группы «Интер РАО» на 2026 – 2030 года (далее Программа развития ИБ 2026 – 2030), одобренной п. 2 Протокола заседания Правления ПАО "Интер РАО" от 27.08.2025 (Информационная безопасность) № 1161.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Техническое решение проекта выработано на основании Программы развития ИБ 2026 – 2027 и включает в себя:</w:t>
            </w:r>
            <w:r w:rsidRPr="001116A7">
              <w:rPr>
                <w:rFonts w:ascii="Calibri" w:hAnsi="Calibri" w:cs="Calibri"/>
                <w:color w:val="000000"/>
              </w:rPr>
              <w:br/>
              <w:t>1. Подсистема защиты EDR для обеспечения постоянного мониторинга и быстрого обнаружения угроз на конечных устройствах</w:t>
            </w:r>
            <w:r w:rsidRPr="001116A7">
              <w:rPr>
                <w:rFonts w:ascii="Calibri" w:hAnsi="Calibri" w:cs="Calibri"/>
                <w:color w:val="000000"/>
              </w:rPr>
              <w:br/>
              <w:t>2. Подсистема защиты NGFW для обеспечения комплексной защиты корпоративных сетей и данных, находящихся в ней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3. Подсистема защиты NTA для мониторинга, анализа и выявления аномалий в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сетевом трафике. Они используются для повышения безопасности сети, обнаружения угроз и предотвращения кибератак</w:t>
            </w:r>
            <w:r w:rsidRPr="001116A7">
              <w:rPr>
                <w:rFonts w:ascii="Calibri" w:hAnsi="Calibri" w:cs="Calibri"/>
                <w:color w:val="000000"/>
              </w:rPr>
              <w:br/>
              <w:t>4. Подсистема защиты среды контейнеризации (СЗСК) для обеспечения безопасности контейнеров и их окружения, включая хостовые системы, сети и хранилища</w:t>
            </w:r>
            <w:r w:rsidRPr="001116A7">
              <w:rPr>
                <w:rFonts w:ascii="Calibri" w:hAnsi="Calibri" w:cs="Calibri"/>
                <w:color w:val="000000"/>
              </w:rPr>
              <w:br/>
              <w:t>5. Подсистема защиты СУБД  (СЗБД) для обеспечения безопасности данных, хранящихся в базах данных, и предотвращения несанкционированного доступа, утечек или повреждения информации</w:t>
            </w:r>
            <w:r w:rsidRPr="001116A7">
              <w:rPr>
                <w:rFonts w:ascii="Calibri" w:hAnsi="Calibri" w:cs="Calibri"/>
                <w:color w:val="000000"/>
              </w:rPr>
              <w:br/>
              <w:t>6. Подсистема размещения ловушек (Deception) с целью обнаружения атак 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0,29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Создание комплекса защиты средств и среды контейнеризации в 2029-2030 гг., 15 шт. ОС и 21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Целями проекта является: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Повышение уровня информационной безопасности Общества; </w:t>
            </w:r>
            <w:r w:rsidRPr="001116A7">
              <w:rPr>
                <w:rFonts w:ascii="Calibri" w:hAnsi="Calibri" w:cs="Calibri"/>
                <w:color w:val="000000"/>
              </w:rPr>
              <w:br/>
              <w:t>• Препятствование действиям злоумышленников - минимизация последствий реализации актуальные для Общества рисков ИБ;</w:t>
            </w:r>
            <w:r w:rsidRPr="001116A7">
              <w:rPr>
                <w:rFonts w:ascii="Calibri" w:hAnsi="Calibri" w:cs="Calibri"/>
                <w:color w:val="000000"/>
              </w:rPr>
              <w:br/>
              <w:t>• Получение возможности обнаруживать признаки кибератак и оказывать противодействие злоумышленникам;</w:t>
            </w:r>
            <w:r w:rsidRPr="001116A7">
              <w:rPr>
                <w:rFonts w:ascii="Calibri" w:hAnsi="Calibri" w:cs="Calibri"/>
                <w:color w:val="000000"/>
              </w:rPr>
              <w:br/>
              <w:t>• Соблюдение требований законодательства в области обеспечения информационной безопасности.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Проект реализуется в рамках Плана мероприятий Программы развития информационной безопасности группы «Интер РАО» на 2026 – 2030 года (далее Программа развития ИБ 2026 – 2030), одобренной п. 2 Протокола заседания Правления ПАО "Интер РАО" от 27.08.2025 (Информационная безопасность) № 1161.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Техническое решение проекта выработано на основании Программы развития ИБ 2026 – 2027 и включает в себя:</w:t>
            </w:r>
            <w:r w:rsidRPr="001116A7">
              <w:rPr>
                <w:rFonts w:ascii="Calibri" w:hAnsi="Calibri" w:cs="Calibri"/>
                <w:color w:val="000000"/>
              </w:rPr>
              <w:br/>
              <w:t>1. Подсистема защиты EDR для обеспечения постоянного мониторинга и быстрого обнаружения угроз на конечных устройствах</w:t>
            </w:r>
            <w:r w:rsidRPr="001116A7">
              <w:rPr>
                <w:rFonts w:ascii="Calibri" w:hAnsi="Calibri" w:cs="Calibri"/>
                <w:color w:val="000000"/>
              </w:rPr>
              <w:br/>
              <w:t>2. Подсистема защиты NGFW для обеспечения комплексной защиты корпоративных сетей и данных, находящихся в ней</w:t>
            </w:r>
            <w:r w:rsidRPr="001116A7">
              <w:rPr>
                <w:rFonts w:ascii="Calibri" w:hAnsi="Calibri" w:cs="Calibri"/>
                <w:color w:val="000000"/>
              </w:rPr>
              <w:br/>
              <w:t>3. Подсистема защиты NTA для мониторинга, анализа и выявления аномалий в сетевом трафике. Они используются для повышения безопасности сети, обнаружения угроз и предотвращения кибератак</w:t>
            </w:r>
            <w:r w:rsidRPr="001116A7">
              <w:rPr>
                <w:rFonts w:ascii="Calibri" w:hAnsi="Calibri" w:cs="Calibri"/>
                <w:color w:val="000000"/>
              </w:rPr>
              <w:br/>
              <w:t>4. Подсистема защиты среды контейнеризации (СЗСК) для обеспечения безопасности контейнеров и их окружения, включая хостовые системы, сети и хранилища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5. Подсистема защиты СУБД  (СЗБД) для обеспечения безопасности данных, хранящихся в базах данных, и предотвращения несанкционированного доступа, утечек или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повреждения информации</w:t>
            </w:r>
            <w:r w:rsidRPr="001116A7">
              <w:rPr>
                <w:rFonts w:ascii="Calibri" w:hAnsi="Calibri" w:cs="Calibri"/>
                <w:color w:val="000000"/>
              </w:rPr>
              <w:br/>
              <w:t>6. Подсистема размещения ловушек (Deception) с целью обнаружения атак 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23,38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2030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Создание комплекса эмуляции элементов ИТ-инфраструктуры в 2027 году, 1 шт. ОС и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Целями проекта является: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Повышение уровня информационной безопасности Общества; </w:t>
            </w:r>
            <w:r w:rsidRPr="001116A7">
              <w:rPr>
                <w:rFonts w:ascii="Calibri" w:hAnsi="Calibri" w:cs="Calibri"/>
                <w:color w:val="000000"/>
              </w:rPr>
              <w:br/>
              <w:t>• Препятствование действиям злоумышленников - минимизация последствий реализации актуальные для Общества рисков ИБ;</w:t>
            </w:r>
            <w:r w:rsidRPr="001116A7">
              <w:rPr>
                <w:rFonts w:ascii="Calibri" w:hAnsi="Calibri" w:cs="Calibri"/>
                <w:color w:val="000000"/>
              </w:rPr>
              <w:br/>
              <w:t>• Получение возможности обнаруживать признаки кибератак и оказывать противодействие злоумышленникам;</w:t>
            </w:r>
            <w:r w:rsidRPr="001116A7">
              <w:rPr>
                <w:rFonts w:ascii="Calibri" w:hAnsi="Calibri" w:cs="Calibri"/>
                <w:color w:val="000000"/>
              </w:rPr>
              <w:br/>
              <w:t>• Соблюдение требований законодательства в области обеспечения информационной безопасности.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Проект реализуется в рамках Плана мероприятий Программы развития информационной безопасности группы «Интер РАО» на 2026 – 2030 года (далее Программа развития ИБ 2026 – 2030), одобренной п. 2 Протокола заседания Правления ПАО "Интер РАО" от 27.08.2025 (Информационная безопасность) № 1161.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Техническое решение проекта выработано на основании Программы развития ИБ 2026 – 2027 и включает в себя:</w:t>
            </w:r>
            <w:r w:rsidRPr="001116A7">
              <w:rPr>
                <w:rFonts w:ascii="Calibri" w:hAnsi="Calibri" w:cs="Calibri"/>
                <w:color w:val="000000"/>
              </w:rPr>
              <w:br/>
              <w:t>1. Подсистема защиты EDR для обеспечения постоянного мониторинга и быстрого обнаружения угроз на конечных устройствах</w:t>
            </w:r>
            <w:r w:rsidRPr="001116A7">
              <w:rPr>
                <w:rFonts w:ascii="Calibri" w:hAnsi="Calibri" w:cs="Calibri"/>
                <w:color w:val="000000"/>
              </w:rPr>
              <w:br/>
              <w:t>2. Подсистема защиты NGFW для обеспечения комплексной защиты корпоративных сетей и данных, находящихся в ней</w:t>
            </w:r>
            <w:r w:rsidRPr="001116A7">
              <w:rPr>
                <w:rFonts w:ascii="Calibri" w:hAnsi="Calibri" w:cs="Calibri"/>
                <w:color w:val="000000"/>
              </w:rPr>
              <w:br/>
              <w:t>3. Подсистема защиты NTA для мониторинга, анализа и выявления аномалий в сетевом трафике. Они используются для повышения безопасности сети, обнаружения угроз и предотвращения кибератак</w:t>
            </w:r>
            <w:r w:rsidRPr="001116A7">
              <w:rPr>
                <w:rFonts w:ascii="Calibri" w:hAnsi="Calibri" w:cs="Calibri"/>
                <w:color w:val="000000"/>
              </w:rPr>
              <w:br/>
              <w:t>4. Подсистема защиты среды контейнеризации (СЗСК) для обеспечения безопасности контейнеров и их окружения, включая хостовые системы, сети и хранилища</w:t>
            </w:r>
            <w:r w:rsidRPr="001116A7">
              <w:rPr>
                <w:rFonts w:ascii="Calibri" w:hAnsi="Calibri" w:cs="Calibri"/>
                <w:color w:val="000000"/>
              </w:rPr>
              <w:br/>
              <w:t>5. Подсистема защиты СУБД  (СЗБД) для обеспечения безопасности данных, хранящихся в базах данных, и предотвращения несанкционированного доступа, утечек или повреждения информации</w:t>
            </w:r>
            <w:r w:rsidRPr="001116A7">
              <w:rPr>
                <w:rFonts w:ascii="Calibri" w:hAnsi="Calibri" w:cs="Calibri"/>
                <w:color w:val="000000"/>
              </w:rPr>
              <w:br/>
              <w:t>6. Подсистема размещения ловушек (Deception) с целью обнаружения атак 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0,31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Создание комплекса защиты ЛВС и межсетевого взаимодействия (анализатор сетевого трафика) в 2026-2027 гг., 2 шт. ОС и 8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Целями проекта является: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Повышение уровня информационной безопасности Общества; </w:t>
            </w:r>
            <w:r w:rsidRPr="001116A7">
              <w:rPr>
                <w:rFonts w:ascii="Calibri" w:hAnsi="Calibri" w:cs="Calibri"/>
                <w:color w:val="000000"/>
              </w:rPr>
              <w:br/>
              <w:t>• Препятствование действиям злоумышленников - минимизация последствий реализации актуальные для Общества рисков ИБ;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• Получение возможности </w:t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обнаруживать признаки кибератак и оказывать противодействие злоумышленникам;</w:t>
            </w:r>
            <w:r w:rsidRPr="001116A7">
              <w:rPr>
                <w:rFonts w:ascii="Calibri" w:hAnsi="Calibri" w:cs="Calibri"/>
                <w:color w:val="000000"/>
              </w:rPr>
              <w:br/>
              <w:t>• Соблюдение требований законодательства в области обеспечения информационной безопасности.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Проект реализуется в рамках Плана мероприятий Программы развития информационной безопасности группы «Интер РАО» на 2026 – 2030 года (далее Программа развития ИБ 2026 – 2030), одобренной п. 2 Протокола заседания Правления ПАО "Интер РАО" от 27.08.2025 (Информационная безопасность) № 1161.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Техническое решение проекта выработано на основании Программы развития ИБ 2026 – 2027 и включает в себя:</w:t>
            </w:r>
            <w:r w:rsidRPr="001116A7">
              <w:rPr>
                <w:rFonts w:ascii="Calibri" w:hAnsi="Calibri" w:cs="Calibri"/>
                <w:color w:val="000000"/>
              </w:rPr>
              <w:br/>
              <w:t>1. Подсистема защиты EDR для обеспечения постоянного мониторинга и быстрого обнаружения угроз на конечных устройствах</w:t>
            </w:r>
            <w:r w:rsidRPr="001116A7">
              <w:rPr>
                <w:rFonts w:ascii="Calibri" w:hAnsi="Calibri" w:cs="Calibri"/>
                <w:color w:val="000000"/>
              </w:rPr>
              <w:br/>
            </w:r>
            <w:r w:rsidRPr="001116A7">
              <w:rPr>
                <w:rFonts w:ascii="Calibri" w:hAnsi="Calibri" w:cs="Calibri"/>
                <w:color w:val="000000"/>
              </w:rPr>
              <w:lastRenderedPageBreak/>
              <w:t>2. Подсистема защиты NGFW для обеспечения комплексной защиты корпоративных сетей и данных, находящихся в ней</w:t>
            </w:r>
            <w:r w:rsidRPr="001116A7">
              <w:rPr>
                <w:rFonts w:ascii="Calibri" w:hAnsi="Calibri" w:cs="Calibri"/>
                <w:color w:val="000000"/>
              </w:rPr>
              <w:br/>
              <w:t>3. Подсистема защиты NTA для мониторинга, анализа и выявления аномалий в сетевом трафике. Они используются для повышения безопасности сети, обнаружения угроз и предотвращения кибератак</w:t>
            </w:r>
            <w:r w:rsidRPr="001116A7">
              <w:rPr>
                <w:rFonts w:ascii="Calibri" w:hAnsi="Calibri" w:cs="Calibri"/>
                <w:color w:val="000000"/>
              </w:rPr>
              <w:br/>
              <w:t>4. Подсистема защиты среды контейнеризации (СЗСК) для обеспечения безопасности контейнеров и их окружения, включая хостовые системы, сети и хранилища</w:t>
            </w:r>
            <w:r w:rsidRPr="001116A7">
              <w:rPr>
                <w:rFonts w:ascii="Calibri" w:hAnsi="Calibri" w:cs="Calibri"/>
                <w:color w:val="000000"/>
              </w:rPr>
              <w:br/>
              <w:t>5. Подсистема защиты СУБД  (СЗБД) для обеспечения безопасности данных, хранящихся в базах данных, и предотвращения несанкционированного доступа, утечек или повреждения информации</w:t>
            </w:r>
            <w:r w:rsidRPr="001116A7">
              <w:rPr>
                <w:rFonts w:ascii="Calibri" w:hAnsi="Calibri" w:cs="Calibri"/>
                <w:color w:val="000000"/>
              </w:rPr>
              <w:br/>
              <w:t>6. Подсистема размещения ловушек (Deception) с целью обнаружения атак 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6,04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86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лицензии на модуль сбора и подготовки данных для системы финансово-экономического управления (МСПД ФЭУ) в 2026 году, 1 шт. НМА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АО «Петербургская сбытовая компания» права на использования программы ЭВМ «Модуль сбора и подготовки данных, реализованный в версии для ТТС ФЭУ (МСПД ФЭУ)»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Проект реализации сервисов расширенного информационного взаимодействия с ФНС России является централизованным проектом ПАО «Интер РАО». Основными целями на предоставление права использования программы ЭВМ: «Модуль сбора и подготовки данных, реализованный в версии для ТТС ФЭУ (МСПД ФЭУ)» являются:</w:t>
            </w:r>
            <w:r w:rsidRPr="001116A7">
              <w:rPr>
                <w:rFonts w:ascii="Calibri" w:hAnsi="Calibri" w:cs="Calibri"/>
                <w:color w:val="000000"/>
              </w:rPr>
              <w:br/>
              <w:t>- Сбор и подготовка данных учетных систем, необходимых для формирования ответа по запросам АИС Налог-3 ПОД ФНС по сценариям и форматам ФНС;</w:t>
            </w:r>
            <w:r w:rsidRPr="001116A7">
              <w:rPr>
                <w:rFonts w:ascii="Calibri" w:hAnsi="Calibri" w:cs="Calibri"/>
                <w:color w:val="000000"/>
              </w:rPr>
              <w:br/>
              <w:t>- Передача в «ПОД ФНС» подготовленных и подтвержденных ответственными пользователями данных из учетных систем;</w:t>
            </w:r>
            <w:r w:rsidRPr="001116A7">
              <w:rPr>
                <w:rFonts w:ascii="Calibri" w:hAnsi="Calibri" w:cs="Calibri"/>
                <w:color w:val="000000"/>
              </w:rPr>
              <w:br/>
              <w:t>- Проверка свойств скан-образов, размещенных в ТТС ЭА, на соответствие требованиям ФНС (размер, формат).</w:t>
            </w:r>
            <w:r w:rsidRPr="001116A7">
              <w:rPr>
                <w:rFonts w:ascii="Calibri" w:hAnsi="Calibri" w:cs="Calibri"/>
                <w:color w:val="000000"/>
              </w:rPr>
              <w:br/>
              <w:t>Договорная конструкция в виде выполнения работ по модернизации МСПД ФЭУ от имени ООО «Интер РАО – ИТ» (владелец основного цифрового актива «ТТС ФЭУ» и «МСПД ФЭУ») с последующим заключением договоров на реализацию неисключительных лицензий МСПД ФЭУ (сроком действия более одного года) с компаниями - участниками налогового мониторинга, в том числе АО «ПСК», согласована в рамках соответствующих поручений (корпоративное письмо от 22.08.2025 №ИРИТ/КП/СД/457).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НМА - 1 штука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7,84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trHeight w:val="255"/>
        </w:trPr>
        <w:tc>
          <w:tcPr>
            <w:tcW w:w="20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b/>
                <w:bCs/>
                <w:color w:val="000000"/>
              </w:rPr>
            </w:pPr>
            <w:r w:rsidRPr="001116A7">
              <w:rPr>
                <w:b/>
                <w:bCs/>
                <w:color w:val="000000"/>
              </w:rPr>
              <w:t>Построение интеллектуальной системы коммерческого учёта электроэнергии</w:t>
            </w:r>
          </w:p>
        </w:tc>
      </w:tr>
      <w:tr w:rsidR="001116A7" w:rsidRPr="001116A7" w:rsidTr="001116A7">
        <w:trPr>
          <w:gridAfter w:val="1"/>
          <w:wAfter w:w="12" w:type="dxa"/>
          <w:trHeight w:val="322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K_15.01.0199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Оснащение потребителей электрической энергии в многоквартирных домах Ленинградской области интеллектуальными приборами учёта в 2025 году  21 140 шт.; в 2026 году - 19 930 шт.; в 2027 году - 19 671 шт.; в 2028 году 25 721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создания ИСУ является автоматизация следующих основных процессов учета коммерческой электроэнергии:</w:t>
            </w:r>
            <w:r w:rsidRPr="001116A7">
              <w:rPr>
                <w:rFonts w:ascii="Calibri" w:hAnsi="Calibri" w:cs="Calibri"/>
                <w:color w:val="000000"/>
              </w:rPr>
              <w:br/>
              <w:t>- Выполнение измерений электроэнергии;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дебиторской задолженности;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- Снижение уровня хищения электроэнергии; 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потерь в сетях и, как следствие, снижение риска разногласий с   ТСО;</w:t>
            </w:r>
            <w:r w:rsidRPr="001116A7">
              <w:rPr>
                <w:rFonts w:ascii="Calibri" w:hAnsi="Calibri" w:cs="Calibri"/>
                <w:color w:val="000000"/>
              </w:rPr>
              <w:br/>
              <w:t>- Автоматизированный сбор и консолидация результатов измерений;</w:t>
            </w:r>
            <w:r w:rsidRPr="001116A7">
              <w:rPr>
                <w:rFonts w:ascii="Calibri" w:hAnsi="Calibri" w:cs="Calibri"/>
                <w:color w:val="000000"/>
              </w:rPr>
              <w:br/>
              <w:t>- Хранение первичных данных об измерениях в специализированной базе;</w:t>
            </w:r>
            <w:r w:rsidRPr="001116A7">
              <w:rPr>
                <w:rFonts w:ascii="Calibri" w:hAnsi="Calibri" w:cs="Calibri"/>
                <w:color w:val="000000"/>
              </w:rPr>
              <w:br/>
              <w:t>- Синхронизация измерений Системы по времени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Выполнение требований Федерального законодательства (Федеральный закон от 27.12.2018 № 522-ФЗ)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     Необходимость установки счётчиков электрической энергии в квартирах, втроенных помещениях (запитанных от ГРЩ жилого дома), и ОДПУ в многоквартирных домах Ленинградской области, включаемых в систему интеллектуального учёта, обусловленных отсутствием, неисправностью прибора учёта или истечением межповерочного интервала. По состоянию на 01.01.2025 года в течение ближайших 4-х лет подлежит установке следующее количество средств измерений:</w:t>
            </w:r>
            <w:r w:rsidRPr="001116A7">
              <w:rPr>
                <w:rFonts w:ascii="Calibri" w:hAnsi="Calibri" w:cs="Calibri"/>
                <w:color w:val="000000"/>
              </w:rPr>
              <w:br/>
              <w:t>однофазные приборы учёта - 63 080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трехфазные приборы учёта - 1 525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ОДПУ - 8 275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шлюзы - 3 319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роутеры - 10 263 шт.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На 2025 год планируется установка следующего количества:</w:t>
            </w:r>
            <w:r w:rsidRPr="001116A7">
              <w:rPr>
                <w:rFonts w:ascii="Calibri" w:hAnsi="Calibri" w:cs="Calibri"/>
                <w:color w:val="000000"/>
              </w:rPr>
              <w:br/>
              <w:t>однофазные приборы учёта - 13 905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трехфазные приборы учёта - 277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ОДПУ - 1 522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шлюзы - 1 145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роутеры - 4 291 шт.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 результатам проведённых конкурсных закупочных процедур определился подрядчик для выполнения работ по установке приборов учёта- ООО "СтройЭнергоКом".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946,08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459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Q_15.26.0199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Оснащение потребителей электрической энергии в многоквартирных домах Ленинградской области интеллектуальными приборами учёта в 2026 году - 19 991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создания ИСУ является автоматизация следующих основных процессов учета коммерческой электроэнергии:</w:t>
            </w:r>
            <w:r w:rsidRPr="001116A7">
              <w:rPr>
                <w:rFonts w:ascii="Calibri" w:hAnsi="Calibri" w:cs="Calibri"/>
                <w:color w:val="000000"/>
              </w:rPr>
              <w:br/>
              <w:t>- Выполнение измерений электроэнергии;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дебиторской задолженности;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- Снижение уровня хищения электроэнергии; 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потерь в сетях и, как следствие, снижение риска разногласий с   ТСО;</w:t>
            </w:r>
            <w:r w:rsidRPr="001116A7">
              <w:rPr>
                <w:rFonts w:ascii="Calibri" w:hAnsi="Calibri" w:cs="Calibri"/>
                <w:color w:val="000000"/>
              </w:rPr>
              <w:br/>
              <w:t>- Автоматизированный сбор и консолидация результатов измерений;</w:t>
            </w:r>
            <w:r w:rsidRPr="001116A7">
              <w:rPr>
                <w:rFonts w:ascii="Calibri" w:hAnsi="Calibri" w:cs="Calibri"/>
                <w:color w:val="000000"/>
              </w:rPr>
              <w:br/>
              <w:t>- Хранение первичных данных об измерениях в специализированной базе;</w:t>
            </w:r>
            <w:r w:rsidRPr="001116A7">
              <w:rPr>
                <w:rFonts w:ascii="Calibri" w:hAnsi="Calibri" w:cs="Calibri"/>
                <w:color w:val="000000"/>
              </w:rPr>
              <w:br/>
              <w:t>- Синхронизация измерений Системы по времени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Выполнение требований Федерального законодательства (Федеральный закон от 27.12.2018 № 522-ФЗ)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     Необходимость установки счётчиков электрической энергии в квартирах, втроенных помещениях (запитанных от ГРЩ жилого дома), и ОДПУ в многоквартирных домах Ленинградской области, включаемых в систему интеллектуального учёта, обусловленных отсутствием, неисправностью прибора учёта или истечением межповерочного интервала. По состоянию на 01.01.2025 года в течение ближайших 4-х лет подлежит установке следующее количество средств измерений:</w:t>
            </w:r>
            <w:r w:rsidRPr="001116A7">
              <w:rPr>
                <w:rFonts w:ascii="Calibri" w:hAnsi="Calibri" w:cs="Calibri"/>
                <w:color w:val="000000"/>
              </w:rPr>
              <w:br/>
              <w:t>однофазные приборы учёта - 63 080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трехфазные приборы учёта - 1 525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ОДПУ - 8 275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шлюзы - 3 319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роутеры - 10 263 шт.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На 2026 год планируется установка следующего количества:</w:t>
            </w:r>
            <w:r w:rsidRPr="001116A7">
              <w:rPr>
                <w:rFonts w:ascii="Calibri" w:hAnsi="Calibri" w:cs="Calibri"/>
                <w:color w:val="000000"/>
              </w:rPr>
              <w:br/>
              <w:t>однофазные приборы учёта - 13 155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трехфазные приборы учёта - 262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ОДПУ - 1 435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шлюзы - 1 082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роутеры - 4 057 шт.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 результатам проведённых конкурсных закупочных процедур определился подрядчик для выполнения работ по установке приборов учёта- ООО "СтройЭнергоКом".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384,08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459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Q_15.27.0199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Оснащение потребителей электрической энергии в многоквартирных домах Ленинградской области интеллектуальными приборами учёта в 2027 году 24 696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создания ИСУ является автоматизация следующих основных процессов учета коммерческой электроэнергии:</w:t>
            </w:r>
            <w:r w:rsidRPr="001116A7">
              <w:rPr>
                <w:rFonts w:ascii="Calibri" w:hAnsi="Calibri" w:cs="Calibri"/>
                <w:color w:val="000000"/>
              </w:rPr>
              <w:br/>
              <w:t>- Выполнение измерений электроэнергии;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дебиторской задолженности;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- Снижение уровня хищения электроэнергии; 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потерь в сетях и, как следствие, снижение риска разногласий с   ТСО;</w:t>
            </w:r>
            <w:r w:rsidRPr="001116A7">
              <w:rPr>
                <w:rFonts w:ascii="Calibri" w:hAnsi="Calibri" w:cs="Calibri"/>
                <w:color w:val="000000"/>
              </w:rPr>
              <w:br/>
              <w:t>- Автоматизированный сбор и консолидация результатов измерений;</w:t>
            </w:r>
            <w:r w:rsidRPr="001116A7">
              <w:rPr>
                <w:rFonts w:ascii="Calibri" w:hAnsi="Calibri" w:cs="Calibri"/>
                <w:color w:val="000000"/>
              </w:rPr>
              <w:br/>
              <w:t>- Хранение первичных данных об измерениях в специализированной базе;</w:t>
            </w:r>
            <w:r w:rsidRPr="001116A7">
              <w:rPr>
                <w:rFonts w:ascii="Calibri" w:hAnsi="Calibri" w:cs="Calibri"/>
                <w:color w:val="000000"/>
              </w:rPr>
              <w:br/>
              <w:t>- Синхронизация измерений Системы по времени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Выполнение требований Федерального законодательства (Федеральный закон от 27.12.2018 № 522-ФЗ)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     Необходимость установки счётчиков электрической энергии в квартирах, втроенных помещениях (запитанных от ГРЩ жилого дома), и ОДПУ в многоквартирных домах Ленинградской области, включаемых в систему интеллектуального учёта, обусловленных отсутствием, неисправностью прибора учёта или истечением межповерочного интервала. По состоянию на 01.01.2025 года в течение ближайших 4-х лет подлежит установке следующее количество средств измерений:</w:t>
            </w:r>
            <w:r w:rsidRPr="001116A7">
              <w:rPr>
                <w:rFonts w:ascii="Calibri" w:hAnsi="Calibri" w:cs="Calibri"/>
                <w:color w:val="000000"/>
              </w:rPr>
              <w:br/>
              <w:t>однофазные приборы учёта - 63 080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трехфазные приборы учёта - 1 525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ОДПУ - 8 275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шлюзы - 3 319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роутеры - 10 263 шт.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На 2027 год планируется установка следующего количества:</w:t>
            </w:r>
            <w:r w:rsidRPr="001116A7">
              <w:rPr>
                <w:rFonts w:ascii="Calibri" w:hAnsi="Calibri" w:cs="Calibri"/>
                <w:color w:val="000000"/>
              </w:rPr>
              <w:br/>
              <w:t>однофазные приборы учёта - 21 302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трехфазные приборы учёта - 948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ОДПУ - 1 599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шлюзы - 212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роутеры - 635 шт.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 результатам проведённых конкурсных закупочных процедур определился подрядчик для выполнения работ по установке приборов учёта- ООО "СтройЭнергоКом".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396,57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459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Q_15.28.0199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Оснащение потребителей электрической энергии в многоквартирных домах Ленинградской области интеллектуальными приборами учёта в 2028 году 26 094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создания ИСУ является автоматизация следующих основных процессов учета коммерческой электроэнергии:</w:t>
            </w:r>
            <w:r w:rsidRPr="001116A7">
              <w:rPr>
                <w:rFonts w:ascii="Calibri" w:hAnsi="Calibri" w:cs="Calibri"/>
                <w:color w:val="000000"/>
              </w:rPr>
              <w:br/>
              <w:t>- Выполнение измерений электроэнергии;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дебиторской задолженности;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- Снижение уровня хищения электроэнергии; 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потерь в сетях и, как следствие, снижение риска разногласий с   ТСО;</w:t>
            </w:r>
            <w:r w:rsidRPr="001116A7">
              <w:rPr>
                <w:rFonts w:ascii="Calibri" w:hAnsi="Calibri" w:cs="Calibri"/>
                <w:color w:val="000000"/>
              </w:rPr>
              <w:br/>
              <w:t>- Автоматизированный сбор и консолидация результатов измерений;</w:t>
            </w:r>
            <w:r w:rsidRPr="001116A7">
              <w:rPr>
                <w:rFonts w:ascii="Calibri" w:hAnsi="Calibri" w:cs="Calibri"/>
                <w:color w:val="000000"/>
              </w:rPr>
              <w:br/>
              <w:t>- Хранение первичных данных об измерениях в специализированной базе;</w:t>
            </w:r>
            <w:r w:rsidRPr="001116A7">
              <w:rPr>
                <w:rFonts w:ascii="Calibri" w:hAnsi="Calibri" w:cs="Calibri"/>
                <w:color w:val="000000"/>
              </w:rPr>
              <w:br/>
              <w:t>- Синхронизация измерений Системы по времени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Выполнение требований Федерального законодательства (Федеральный закон от 27.12.2018 № 522-ФЗ)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     Необходимость установки счётчиков электрической энергии в квартирах, втроенных помещениях (запитанных от ГРЩ жилого дома), и ОДПУ в многоквартирных домах Ленинградской области, включаемых в систему интеллектуального учёта, обусловленных отсутствием, неисправностью прибора учёта или истечением межповерочного интервала. По состоянию на 01.01.2025 года в течение ближайших 4-х лет подлежит установке следующее количество средств измерений:</w:t>
            </w:r>
            <w:r w:rsidRPr="001116A7">
              <w:rPr>
                <w:rFonts w:ascii="Calibri" w:hAnsi="Calibri" w:cs="Calibri"/>
                <w:color w:val="000000"/>
              </w:rPr>
              <w:br/>
              <w:t>однофазные приборы учёта - 63 080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трехфазные приборы учёта - 1 525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ОДПУ - 8 275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шлюзы - 3 319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роутеры - 10 263 шт.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На 2028 год планируется установка следующего количества:</w:t>
            </w:r>
            <w:r w:rsidRPr="001116A7">
              <w:rPr>
                <w:rFonts w:ascii="Calibri" w:hAnsi="Calibri" w:cs="Calibri"/>
                <w:color w:val="000000"/>
              </w:rPr>
              <w:br/>
              <w:t>однофазные приборы учёта - 21 952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трехфазные приборы учёта - 1 388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ОДПУ - 922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шлюзы - 459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роутеры - 1 373 шт.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 результатам проведённых конкурсных закупочных процедур определился подрядчик для выполнения работ по установке приборов учёта- ООО "СтройЭнергоКом".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449,45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2029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459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Q_15.29.0199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Оснащение потребителей электрической энергии в многоквартирных домах Ленинградской области интеллектуальными приборами учёта в 2029 году 20 779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Целью создания ИСУ является автоматизация следующих основных процессов учета коммерческой электроэнергии:</w:t>
            </w:r>
            <w:r w:rsidRPr="001116A7">
              <w:rPr>
                <w:rFonts w:ascii="Calibri" w:hAnsi="Calibri" w:cs="Calibri"/>
                <w:color w:val="000000"/>
              </w:rPr>
              <w:br/>
              <w:t>- Выполнение измерений электроэнергии;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дебиторской задолженности;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- Снижение уровня хищения электроэнергии; </w:t>
            </w:r>
            <w:r w:rsidRPr="001116A7">
              <w:rPr>
                <w:rFonts w:ascii="Calibri" w:hAnsi="Calibri" w:cs="Calibri"/>
                <w:color w:val="000000"/>
              </w:rPr>
              <w:br/>
              <w:t>- Снижение потерь в сетях и, как следствие, снижение риска разногласий с   ТСО;</w:t>
            </w:r>
            <w:r w:rsidRPr="001116A7">
              <w:rPr>
                <w:rFonts w:ascii="Calibri" w:hAnsi="Calibri" w:cs="Calibri"/>
                <w:color w:val="000000"/>
              </w:rPr>
              <w:br/>
              <w:t>- Автоматизированный сбор и консолидация результатов измерений;</w:t>
            </w:r>
            <w:r w:rsidRPr="001116A7">
              <w:rPr>
                <w:rFonts w:ascii="Calibri" w:hAnsi="Calibri" w:cs="Calibri"/>
                <w:color w:val="000000"/>
              </w:rPr>
              <w:br/>
              <w:t>- Хранение первичных данных об измерениях в специализированной базе;</w:t>
            </w:r>
            <w:r w:rsidRPr="001116A7">
              <w:rPr>
                <w:rFonts w:ascii="Calibri" w:hAnsi="Calibri" w:cs="Calibri"/>
                <w:color w:val="000000"/>
              </w:rPr>
              <w:br/>
              <w:t>- Синхронизация измерений Системы по времени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Выполнение требований Федерального законодательства (Федеральный закон от 27.12.2018 № 522-ФЗ)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          Необходимость установки счётчиков электрической энергии в квартирах, втроенных помещениях (запитанных от ГРЩ жилого дома), и ОДПУ в многоквартирных домах Ленинградской области, включаемых в систему интеллектуального учёта, обусловленных отсутствием, неисправностью прибора учёта или истечением межповерочного интервала. По состоянию на 01.01.2025 года в течение ближайших 4-х лет подлежит установке следующее количество средств измерений:</w:t>
            </w:r>
            <w:r w:rsidRPr="001116A7">
              <w:rPr>
                <w:rFonts w:ascii="Calibri" w:hAnsi="Calibri" w:cs="Calibri"/>
                <w:color w:val="000000"/>
              </w:rPr>
              <w:br/>
              <w:t>однофазные приборы учёта - 63 080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трехфазные приборы учёта - 1 525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ОДПУ - 8 275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шлюзы - 3 319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роутеры - 10 263 шт.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На 2029 год планируется установка следующего количества:</w:t>
            </w:r>
            <w:r w:rsidRPr="001116A7">
              <w:rPr>
                <w:rFonts w:ascii="Calibri" w:hAnsi="Calibri" w:cs="Calibri"/>
                <w:color w:val="000000"/>
              </w:rPr>
              <w:br/>
              <w:t>однофазные приборы учёта - 18 726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трехфазные приборы учёта - 172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ОДПУ - 8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шлюзы - 571 шт.;</w:t>
            </w:r>
            <w:r w:rsidRPr="001116A7">
              <w:rPr>
                <w:rFonts w:ascii="Calibri" w:hAnsi="Calibri" w:cs="Calibri"/>
                <w:color w:val="000000"/>
              </w:rPr>
              <w:br/>
              <w:t>роутеры - 1 302 шт.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     По результатам проведённых конкурсных закупочных процедур определился подрядчик для выполнения работ по установке приборов учёта- ООО "СтройЭнергоКом". 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   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357,34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2030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trHeight w:val="255"/>
        </w:trPr>
        <w:tc>
          <w:tcPr>
            <w:tcW w:w="20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b/>
                <w:bCs/>
                <w:color w:val="000000"/>
              </w:rPr>
            </w:pPr>
            <w:r w:rsidRPr="001116A7">
              <w:rPr>
                <w:b/>
                <w:bCs/>
                <w:color w:val="000000"/>
              </w:rPr>
              <w:t>Прочие мероприятия</w:t>
            </w:r>
          </w:p>
        </w:tc>
      </w:tr>
      <w:tr w:rsidR="001116A7" w:rsidRPr="001116A7" w:rsidTr="001116A7">
        <w:trPr>
          <w:gridAfter w:val="1"/>
          <w:wAfter w:w="12" w:type="dxa"/>
          <w:trHeight w:val="124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P_15.27.0012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легковых автомобилей Малого класса в 2027 году, 1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Необходимость приобретения легковых автомобилей отечественного производства обусловлена заменой автопарка Общества, эксплуатационный срок которых составляет 5 (пять) и более лет, ввиду нерентабельности их ремонта (изношенность узлов и агрегатов).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Необходимость приобретения легковых автомобилей отечественного производства обусловлена заменой автопарка Общества, эксплуатационный срок которых составляет 5 (пять) и более лет, ввиду нерентабельности их ремонта (изношенность узлов и агрегатов).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CHERY TIGGO4 PRO - 1 шт.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1,96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2027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2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P_15.28.0012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легковых автомобилей Малого класса в 2028 году, 12 шт.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Необходимость приобретения легковых автомобилей отечественного производства обусловлена заменой автопарка Общества, эксплуатационный срок которых составляет 5 (пять) и более лет, ввиду нерентабельности их ремонта (изношенность узлов и агрегатов).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Необходимость приобретения легковых автомобилей отечественного производства обусловлена заменой автопарка Общества, эксплуатационный срок которых составляет 5 (пять) и более лет, ввиду нерентабельности их ремонта (изношенность узлов и агрегатов).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CHERY TIGGO4 PRO - 12 шт.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33,03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2028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2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P_15.01.10039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Приобретение кондиционеров, 112 шт. ОС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Основной целью реализации проекта является повышение надёжности работы оборудования для поддержания нормальных условий труда работников Общества, в соответствии с Санитарно-эпидемиологическими правилами и нормами СанПиН 2.1.6.1032-01 «Гигиенические требования к обеспечению качества атмосферного воздуха»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Потребность в проведении закупки обусловлена следующими причинами:</w:t>
            </w:r>
            <w:r w:rsidRPr="001116A7">
              <w:rPr>
                <w:rFonts w:ascii="Calibri" w:hAnsi="Calibri" w:cs="Calibri"/>
                <w:color w:val="000000"/>
              </w:rPr>
              <w:br/>
              <w:t>1. истечение срока эксплуатации кондиционеров. Кондиционеры, предлагаемые к замене 2006-2014 годов выпуска (Приложение №1);</w:t>
            </w:r>
            <w:r w:rsidRPr="001116A7">
              <w:rPr>
                <w:rFonts w:ascii="Calibri" w:hAnsi="Calibri" w:cs="Calibri"/>
                <w:color w:val="000000"/>
              </w:rPr>
              <w:br/>
              <w:t xml:space="preserve">2. часть наружных блоков кондиционеров установлены внутри технических чердаков, что значительно ухудшает теплоотдачу; </w:t>
            </w:r>
            <w:r w:rsidRPr="001116A7">
              <w:rPr>
                <w:rFonts w:ascii="Calibri" w:hAnsi="Calibri" w:cs="Calibri"/>
                <w:color w:val="000000"/>
              </w:rPr>
              <w:br/>
              <w:t>3. отсутствие запасных частей;</w:t>
            </w:r>
            <w:r w:rsidRPr="001116A7">
              <w:rPr>
                <w:rFonts w:ascii="Calibri" w:hAnsi="Calibri" w:cs="Calibri"/>
                <w:color w:val="000000"/>
              </w:rPr>
              <w:br/>
              <w:t>4. пониженная холодопроизводительность, в связи с физическим износом теплоизоляции и узлов кондиционеров;</w:t>
            </w:r>
            <w:r w:rsidRPr="001116A7">
              <w:rPr>
                <w:rFonts w:ascii="Calibri" w:hAnsi="Calibri" w:cs="Calibri"/>
                <w:color w:val="000000"/>
              </w:rPr>
              <w:br/>
              <w:t>5. опасность возгораний и поражений электрическим током, из-за износа электрической изоляции;</w:t>
            </w:r>
            <w:r w:rsidRPr="001116A7">
              <w:rPr>
                <w:rFonts w:ascii="Calibri" w:hAnsi="Calibri" w:cs="Calibri"/>
                <w:color w:val="000000"/>
              </w:rPr>
              <w:br/>
              <w:t>6. опасность утечки хладогенов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Кондиционер Lessar LS-H07KFE2/LU-H07KFE2  -  28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Кондиционер Lessar LS-H09KFE2/LU-H09KFE2  -  41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Кондиционер Lessar LS-H12KFE2/LU-H12KFE2  -  22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Кондиционер Lessar LS-H18KFE2/LU-H18KFE2  -  16 шт.;</w:t>
            </w:r>
            <w:r w:rsidRPr="001116A7">
              <w:rPr>
                <w:rFonts w:ascii="Calibri" w:hAnsi="Calibri" w:cs="Calibri"/>
                <w:color w:val="000000"/>
              </w:rPr>
              <w:br/>
              <w:t>Кондиционер Lessar LS-H24KFE2/LU-H24KFE2  -  5 шт.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2,90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12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Q_15.01.10057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инженерно-технических систем охраны в клиентском офисе (г. Новая Ладога, объект ОС 3 шт.)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Антитеррористическая защита объектов, сотрудников и клиентов компании, имущества АО «Петербургская сбытовая компания» от противоправных действий третьих лиц и возникновения чрезвычайных ситуаций, обеспечение устойчивой и бесперебойной работы инженерно-технических средств охраны, обеспечение достоверной видео и аудио регистрации событий в клиентских зонах, в целях улучшения качества обслуживания, обеспечение внутриобъектового и пропускного режима.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инженерно-технических систем охраны в клиентских офисах АО «ПСК» проводится в соответствии с требованиями Указа Президента РФ от 14.06.2012 № 851 «О порядке установления уровней террористической опасности, предусматривающей принятие дополнительных мер по обеспечению безопасности личности, общества и государства», приказа Председателя Правления ПАО «Интер РАО» от 03.04.2015 № ИРАО/4-к «Об утверждении Методики по действиям при установлении уровней террористической опасности», федерального закона от 21 декабря 1994 г. № 68-ФЗ «О защите населения и территорий от чрезвычайных ситуаций природного и техногенного характера», приказа Председателя Правления ПАО «Интер РАО» от 10.08.2023 № ИРАО/378 «Об утверждении Методики МТ-295-1 «Техническая укрепленность и оборудование ИТСО зданий и помещений энергосбытовых и энергосервисных компаний Группы «Интер РАО». Необходимость реализации проекта возникла в связи с тем, что имеющиеся системы охранного видеонаблюдения в 2024 году выработают установленный ресурс 10 лет (введены в эксплуатацию в 2010-2014) и не в полной мере отвечают требованиям Методики МТ-295-1. Дальнейшая их эксплуатация связана с высокими рисками отказов и значительными затратами на ремонтные работы и подержание в рабочем состоянии. Здания (помещения) клиентских офисов находится в собственности АО «ПСК»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системы охранного видеонаблюдения</w:t>
            </w:r>
            <w:r w:rsidRPr="001116A7">
              <w:rPr>
                <w:rFonts w:ascii="Calibri" w:hAnsi="Calibri" w:cs="Calibri"/>
                <w:color w:val="000000"/>
              </w:rPr>
              <w:br/>
              <w:t>Модернизация пожарной сигнализации и системы оповещения и управления эвакуацией (СОУЭ)</w:t>
            </w:r>
            <w:r w:rsidRPr="001116A7">
              <w:rPr>
                <w:rFonts w:ascii="Calibri" w:hAnsi="Calibri" w:cs="Calibri"/>
                <w:color w:val="000000"/>
              </w:rPr>
              <w:br/>
              <w:t>Модернизация охранно-тревожной сигнализации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6,29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  <w:tr w:rsidR="001116A7" w:rsidRPr="001116A7" w:rsidTr="001116A7">
        <w:trPr>
          <w:gridAfter w:val="1"/>
          <w:wAfter w:w="12" w:type="dxa"/>
          <w:trHeight w:val="274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lastRenderedPageBreak/>
              <w:t>Q_15.01.10058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инженерно-технических систем охраны в клиентском офисе (г. Сертолово, объект ОС 3 шт.)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Антитеррористическая защита объектов, сотрудников и клиентов компании, имущества АО «Петербургская сбытовая компания» от противоправных действий третьих лиц и возникновения чрезвычайных ситуаций, обеспечение устойчивой и бесперебойной работы инженерно-технических средств охраны, обеспечение достоверной видео и аудио регистрации событий в клиентских зонах, в целях улучшения качества обслуживания, обеспечение внутриобъектового и пропускного режима.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both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инженерно-технических систем охраны в клиентских офисах АО «ПСК» проводится в соответствии с требованиями Указа Президента РФ от 14.06.2012 № 851 «О порядке установления уровней террористической опасности, предусматривающей принятие дополнительных мер по обеспечению безопасности личности, общества и государства», приказа Председателя Правления ПАО «Интер РАО» от 03.04.2015 № ИРАО/4-к «Об утверждении Методики по действиям при установлении уровней террористической опасности», федерального закона от 21 декабря 1994 г. № 68-ФЗ «О защите населения и территорий от чрезвычайных ситуаций природного и техногенного характера», приказа Председателя Правления ПАО «Интер РАО» от 10.08.2023 № ИРАО/378 «Об утверждении Методики МТ-295-1 «Техническая укрепленность и оборудование ИТСО зданий и помещений энергосбытовых и энергосервисных компаний Группы «Интер РАО». Необходимость реализации проекта возникла в связи с тем, что имеющиеся системы охранного видеонаблюдения в 2024 году выработают установленный ресурс 10 лет (введены в эксплуатацию в 2010-2014) и не в полной мере отвечают требованиям Методики МТ-295-1. Дальнейшая их эксплуатация связана с высокими рисками отказов и значительными затратами на ремонтные работы и подержание в рабочем состоянии. Здания (помещения) клиентских офисов находится в собственности АО «ПСК»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Модернизация системы охранного видеонаблюдения</w:t>
            </w:r>
            <w:r w:rsidRPr="001116A7">
              <w:rPr>
                <w:rFonts w:ascii="Calibri" w:hAnsi="Calibri" w:cs="Calibri"/>
                <w:color w:val="000000"/>
              </w:rPr>
              <w:br/>
              <w:t>Модернизация пожарной сигнализации и системы оповещения и управления эвакуацией (СОУЭ)</w:t>
            </w:r>
            <w:r w:rsidRPr="001116A7">
              <w:rPr>
                <w:rFonts w:ascii="Calibri" w:hAnsi="Calibri" w:cs="Calibri"/>
                <w:color w:val="000000"/>
              </w:rPr>
              <w:br/>
              <w:t>Модернизация охранно-тревожной сигнализации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Санкт-Петербург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 xml:space="preserve">7,18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jc w:val="center"/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2026 год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6A7" w:rsidRPr="001116A7" w:rsidRDefault="001116A7" w:rsidP="001116A7">
            <w:pPr>
              <w:rPr>
                <w:rFonts w:ascii="Calibri" w:hAnsi="Calibri" w:cs="Calibri"/>
                <w:color w:val="000000"/>
              </w:rPr>
            </w:pPr>
            <w:r w:rsidRPr="001116A7">
              <w:rPr>
                <w:rFonts w:ascii="Calibri" w:hAnsi="Calibri" w:cs="Calibri"/>
                <w:color w:val="000000"/>
              </w:rPr>
              <w:t>показатель не рассчитывается</w:t>
            </w:r>
          </w:p>
        </w:tc>
      </w:tr>
    </w:tbl>
    <w:p w:rsidR="00AF3D93" w:rsidRPr="008240C5" w:rsidRDefault="00AF3D93" w:rsidP="00295BAD">
      <w:pPr>
        <w:jc w:val="both"/>
        <w:rPr>
          <w:sz w:val="26"/>
          <w:szCs w:val="26"/>
        </w:rPr>
      </w:pPr>
    </w:p>
    <w:sectPr w:rsidR="00AF3D93" w:rsidRPr="008240C5" w:rsidSect="00175079">
      <w:pgSz w:w="23814" w:h="16840" w:orient="landscape" w:code="8"/>
      <w:pgMar w:top="1418" w:right="284" w:bottom="426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in;height:3in" o:bullet="t"/>
    </w:pict>
  </w:numPicBullet>
  <w:abstractNum w:abstractNumId="0" w15:restartNumberingAfterBreak="0">
    <w:nsid w:val="09F93DB6"/>
    <w:multiLevelType w:val="hybridMultilevel"/>
    <w:tmpl w:val="BCD0169C"/>
    <w:lvl w:ilvl="0" w:tplc="8AAC6566">
      <w:start w:val="1"/>
      <w:numFmt w:val="bullet"/>
      <w:lvlText w:val="−"/>
      <w:lvlJc w:val="left"/>
      <w:pPr>
        <w:ind w:left="786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D8F5444"/>
    <w:multiLevelType w:val="hybridMultilevel"/>
    <w:tmpl w:val="BE0A31C8"/>
    <w:lvl w:ilvl="0" w:tplc="1D5487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5D4546"/>
    <w:multiLevelType w:val="hybridMultilevel"/>
    <w:tmpl w:val="F000E7E6"/>
    <w:lvl w:ilvl="0" w:tplc="84C4EF3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C074AF6"/>
    <w:multiLevelType w:val="hybridMultilevel"/>
    <w:tmpl w:val="0BD68620"/>
    <w:lvl w:ilvl="0" w:tplc="4D9838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FA6E5C"/>
    <w:multiLevelType w:val="multilevel"/>
    <w:tmpl w:val="0A9E974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842D9B"/>
    <w:multiLevelType w:val="hybridMultilevel"/>
    <w:tmpl w:val="DC1A5034"/>
    <w:lvl w:ilvl="0" w:tplc="C2805822">
      <w:start w:val="1"/>
      <w:numFmt w:val="bullet"/>
      <w:pStyle w:val="3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37056"/>
    <w:multiLevelType w:val="hybridMultilevel"/>
    <w:tmpl w:val="D2F6A7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A7EDE"/>
    <w:multiLevelType w:val="hybridMultilevel"/>
    <w:tmpl w:val="D5BAEBC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822D7"/>
    <w:multiLevelType w:val="hybridMultilevel"/>
    <w:tmpl w:val="9B5A37F4"/>
    <w:lvl w:ilvl="0" w:tplc="04190017">
      <w:start w:val="1"/>
      <w:numFmt w:val="lowerLetter"/>
      <w:lvlText w:val="%1)"/>
      <w:lvlJc w:val="left"/>
      <w:pPr>
        <w:ind w:left="1416" w:hanging="360"/>
      </w:p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9" w15:restartNumberingAfterBreak="0">
    <w:nsid w:val="589D4A7B"/>
    <w:multiLevelType w:val="hybridMultilevel"/>
    <w:tmpl w:val="EBBC4146"/>
    <w:lvl w:ilvl="0" w:tplc="6BD4F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AA4ABF"/>
    <w:multiLevelType w:val="hybridMultilevel"/>
    <w:tmpl w:val="ADECDDD6"/>
    <w:lvl w:ilvl="0" w:tplc="4D983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757D4"/>
    <w:multiLevelType w:val="hybridMultilevel"/>
    <w:tmpl w:val="6F627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26FDF"/>
    <w:multiLevelType w:val="hybridMultilevel"/>
    <w:tmpl w:val="000C244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11"/>
  </w:num>
  <w:num w:numId="9">
    <w:abstractNumId w:val="1"/>
  </w:num>
  <w:num w:numId="10">
    <w:abstractNumId w:val="8"/>
  </w:num>
  <w:num w:numId="11">
    <w:abstractNumId w:val="12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F9F"/>
    <w:rsid w:val="00007198"/>
    <w:rsid w:val="00013EB7"/>
    <w:rsid w:val="000155A0"/>
    <w:rsid w:val="000320B3"/>
    <w:rsid w:val="00034975"/>
    <w:rsid w:val="00040A32"/>
    <w:rsid w:val="00046846"/>
    <w:rsid w:val="00072EBB"/>
    <w:rsid w:val="00075256"/>
    <w:rsid w:val="00086585"/>
    <w:rsid w:val="000919D0"/>
    <w:rsid w:val="000A3F1F"/>
    <w:rsid w:val="000A5ABF"/>
    <w:rsid w:val="000B272B"/>
    <w:rsid w:val="000E23EA"/>
    <w:rsid w:val="001116A7"/>
    <w:rsid w:val="00111E97"/>
    <w:rsid w:val="00130090"/>
    <w:rsid w:val="00133DD1"/>
    <w:rsid w:val="0014192D"/>
    <w:rsid w:val="00142CD4"/>
    <w:rsid w:val="0015256A"/>
    <w:rsid w:val="00152592"/>
    <w:rsid w:val="00166294"/>
    <w:rsid w:val="00167466"/>
    <w:rsid w:val="00175079"/>
    <w:rsid w:val="001866B0"/>
    <w:rsid w:val="00193EAF"/>
    <w:rsid w:val="001961DF"/>
    <w:rsid w:val="00196E78"/>
    <w:rsid w:val="001B570F"/>
    <w:rsid w:val="001B5F51"/>
    <w:rsid w:val="001C4E56"/>
    <w:rsid w:val="001C7B00"/>
    <w:rsid w:val="001E3058"/>
    <w:rsid w:val="002075B8"/>
    <w:rsid w:val="00211351"/>
    <w:rsid w:val="00227ED7"/>
    <w:rsid w:val="002361A8"/>
    <w:rsid w:val="00243F42"/>
    <w:rsid w:val="00256F3B"/>
    <w:rsid w:val="00260E5C"/>
    <w:rsid w:val="00266DD2"/>
    <w:rsid w:val="0026747E"/>
    <w:rsid w:val="0027473B"/>
    <w:rsid w:val="0028005B"/>
    <w:rsid w:val="0028370A"/>
    <w:rsid w:val="00295BAD"/>
    <w:rsid w:val="002E6AA2"/>
    <w:rsid w:val="002F2BF6"/>
    <w:rsid w:val="00313E47"/>
    <w:rsid w:val="003177D5"/>
    <w:rsid w:val="00343DF6"/>
    <w:rsid w:val="00361623"/>
    <w:rsid w:val="003903D1"/>
    <w:rsid w:val="0039309E"/>
    <w:rsid w:val="003B0B8E"/>
    <w:rsid w:val="003C3395"/>
    <w:rsid w:val="003C55A7"/>
    <w:rsid w:val="00406AEB"/>
    <w:rsid w:val="00417001"/>
    <w:rsid w:val="004246AE"/>
    <w:rsid w:val="0046476B"/>
    <w:rsid w:val="004808D4"/>
    <w:rsid w:val="004B3FEF"/>
    <w:rsid w:val="004C4996"/>
    <w:rsid w:val="004C5DF7"/>
    <w:rsid w:val="004F10F1"/>
    <w:rsid w:val="00502B44"/>
    <w:rsid w:val="0050303A"/>
    <w:rsid w:val="005145E2"/>
    <w:rsid w:val="005241FC"/>
    <w:rsid w:val="00543BE7"/>
    <w:rsid w:val="00552FFC"/>
    <w:rsid w:val="005739F1"/>
    <w:rsid w:val="0057478B"/>
    <w:rsid w:val="005B325D"/>
    <w:rsid w:val="005C7652"/>
    <w:rsid w:val="005F0FB8"/>
    <w:rsid w:val="006145D4"/>
    <w:rsid w:val="00614759"/>
    <w:rsid w:val="006241C6"/>
    <w:rsid w:val="0063426D"/>
    <w:rsid w:val="006631F0"/>
    <w:rsid w:val="00670A09"/>
    <w:rsid w:val="00672F7F"/>
    <w:rsid w:val="00674A7C"/>
    <w:rsid w:val="00680987"/>
    <w:rsid w:val="006951B3"/>
    <w:rsid w:val="006E5082"/>
    <w:rsid w:val="0071405D"/>
    <w:rsid w:val="00720971"/>
    <w:rsid w:val="0072187F"/>
    <w:rsid w:val="00722CF1"/>
    <w:rsid w:val="00723863"/>
    <w:rsid w:val="007245FB"/>
    <w:rsid w:val="007255CD"/>
    <w:rsid w:val="00730ACB"/>
    <w:rsid w:val="00763ED3"/>
    <w:rsid w:val="0077057A"/>
    <w:rsid w:val="007747B8"/>
    <w:rsid w:val="007A0FEE"/>
    <w:rsid w:val="007B1C6B"/>
    <w:rsid w:val="007B302C"/>
    <w:rsid w:val="007B5537"/>
    <w:rsid w:val="007C453F"/>
    <w:rsid w:val="007F5D98"/>
    <w:rsid w:val="00803EB8"/>
    <w:rsid w:val="008240C5"/>
    <w:rsid w:val="008366CC"/>
    <w:rsid w:val="00837F5F"/>
    <w:rsid w:val="00843D7F"/>
    <w:rsid w:val="00854C42"/>
    <w:rsid w:val="00864AC4"/>
    <w:rsid w:val="008711D9"/>
    <w:rsid w:val="008A4044"/>
    <w:rsid w:val="008A5C91"/>
    <w:rsid w:val="008E2C34"/>
    <w:rsid w:val="0091769B"/>
    <w:rsid w:val="0092610F"/>
    <w:rsid w:val="009331E5"/>
    <w:rsid w:val="00937B70"/>
    <w:rsid w:val="00951C54"/>
    <w:rsid w:val="00970A23"/>
    <w:rsid w:val="00976A53"/>
    <w:rsid w:val="009A28EC"/>
    <w:rsid w:val="009B115D"/>
    <w:rsid w:val="009B60BE"/>
    <w:rsid w:val="009B704B"/>
    <w:rsid w:val="009E335F"/>
    <w:rsid w:val="009F518E"/>
    <w:rsid w:val="00A05F9F"/>
    <w:rsid w:val="00A175DC"/>
    <w:rsid w:val="00A46E27"/>
    <w:rsid w:val="00A503F5"/>
    <w:rsid w:val="00A52DF8"/>
    <w:rsid w:val="00A72E2B"/>
    <w:rsid w:val="00A92777"/>
    <w:rsid w:val="00A94AA5"/>
    <w:rsid w:val="00AB44C0"/>
    <w:rsid w:val="00AB5888"/>
    <w:rsid w:val="00AC2AAF"/>
    <w:rsid w:val="00AC2B05"/>
    <w:rsid w:val="00AC3AFD"/>
    <w:rsid w:val="00AD035C"/>
    <w:rsid w:val="00AD7C30"/>
    <w:rsid w:val="00AE1081"/>
    <w:rsid w:val="00AF2804"/>
    <w:rsid w:val="00AF3D93"/>
    <w:rsid w:val="00B02E2F"/>
    <w:rsid w:val="00B149EA"/>
    <w:rsid w:val="00B80BFF"/>
    <w:rsid w:val="00B82C9E"/>
    <w:rsid w:val="00B841B7"/>
    <w:rsid w:val="00B84E2B"/>
    <w:rsid w:val="00BC7FF3"/>
    <w:rsid w:val="00BD6F6E"/>
    <w:rsid w:val="00BE5463"/>
    <w:rsid w:val="00BF24F6"/>
    <w:rsid w:val="00C15DF4"/>
    <w:rsid w:val="00C26CBE"/>
    <w:rsid w:val="00C44DE6"/>
    <w:rsid w:val="00C4557D"/>
    <w:rsid w:val="00C54EDE"/>
    <w:rsid w:val="00C753B7"/>
    <w:rsid w:val="00C75A03"/>
    <w:rsid w:val="00CA712E"/>
    <w:rsid w:val="00CB18C8"/>
    <w:rsid w:val="00CB25C1"/>
    <w:rsid w:val="00CC275F"/>
    <w:rsid w:val="00CE34AB"/>
    <w:rsid w:val="00D16979"/>
    <w:rsid w:val="00D45904"/>
    <w:rsid w:val="00D4660E"/>
    <w:rsid w:val="00D63BDD"/>
    <w:rsid w:val="00D83416"/>
    <w:rsid w:val="00DA49FF"/>
    <w:rsid w:val="00DB5DEC"/>
    <w:rsid w:val="00DD4609"/>
    <w:rsid w:val="00DE75C3"/>
    <w:rsid w:val="00E021AA"/>
    <w:rsid w:val="00E07F39"/>
    <w:rsid w:val="00E606FC"/>
    <w:rsid w:val="00E6688F"/>
    <w:rsid w:val="00E85D3B"/>
    <w:rsid w:val="00E92CB3"/>
    <w:rsid w:val="00EC56FD"/>
    <w:rsid w:val="00EF0FF3"/>
    <w:rsid w:val="00F21F4C"/>
    <w:rsid w:val="00F240D4"/>
    <w:rsid w:val="00F42B03"/>
    <w:rsid w:val="00F76354"/>
    <w:rsid w:val="00F96894"/>
    <w:rsid w:val="00FA37FE"/>
    <w:rsid w:val="00FB0FBC"/>
    <w:rsid w:val="00FB2842"/>
    <w:rsid w:val="00FD4221"/>
    <w:rsid w:val="00FD6357"/>
    <w:rsid w:val="00FF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F0F0F9"/>
  <w15:docId w15:val="{47838673-B350-40E3-8D3F-B438D3F1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5F9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Абзац списка"/>
    <w:basedOn w:val="a"/>
    <w:link w:val="a4"/>
    <w:uiPriority w:val="34"/>
    <w:qFormat/>
    <w:rsid w:val="0028370A"/>
    <w:pPr>
      <w:ind w:left="720"/>
      <w:contextualSpacing/>
    </w:pPr>
  </w:style>
  <w:style w:type="paragraph" w:customStyle="1" w:styleId="ConsPlusNormal">
    <w:name w:val="ConsPlusNormal"/>
    <w:rsid w:val="00D834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D834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83416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AF3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61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8">
    <w:name w:val="Body Text"/>
    <w:basedOn w:val="a"/>
    <w:link w:val="a9"/>
    <w:rsid w:val="001866B0"/>
    <w:pPr>
      <w:spacing w:after="120"/>
      <w:jc w:val="both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1866B0"/>
    <w:rPr>
      <w:rFonts w:ascii="Times New Roman" w:eastAsia="Times New Roman" w:hAnsi="Times New Roman"/>
      <w:sz w:val="24"/>
      <w:szCs w:val="24"/>
    </w:rPr>
  </w:style>
  <w:style w:type="character" w:customStyle="1" w:styleId="a4">
    <w:name w:val="Абзац списка Знак"/>
    <w:aliases w:val="-Абзац списка Знак"/>
    <w:basedOn w:val="a0"/>
    <w:link w:val="a3"/>
    <w:uiPriority w:val="34"/>
    <w:locked/>
    <w:rsid w:val="001866B0"/>
    <w:rPr>
      <w:rFonts w:ascii="Times New Roman" w:eastAsia="Times New Roman" w:hAnsi="Times New Roman"/>
    </w:rPr>
  </w:style>
  <w:style w:type="paragraph" w:styleId="3">
    <w:name w:val="List Bullet 3"/>
    <w:basedOn w:val="a"/>
    <w:uiPriority w:val="99"/>
    <w:unhideWhenUsed/>
    <w:rsid w:val="0071405D"/>
    <w:pPr>
      <w:numPr>
        <w:numId w:val="13"/>
      </w:numPr>
      <w:spacing w:after="120"/>
      <w:contextualSpacing/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4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7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E48B9-4477-4C03-BF0C-6D002F8E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44</Pages>
  <Words>19456</Words>
  <Characters>110903</Characters>
  <Application>Microsoft Office Word</Application>
  <DocSecurity>0</DocSecurity>
  <Lines>924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автор</cp:lastModifiedBy>
  <cp:revision>4</cp:revision>
  <cp:lastPrinted>2017-02-28T10:23:00Z</cp:lastPrinted>
  <dcterms:created xsi:type="dcterms:W3CDTF">2025-04-04T11:45:00Z</dcterms:created>
  <dcterms:modified xsi:type="dcterms:W3CDTF">2026-04-23T16:48:00Z</dcterms:modified>
</cp:coreProperties>
</file>